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0600" w14:textId="3A052AF4" w:rsidR="00031198" w:rsidRPr="00E82CF7" w:rsidRDefault="0049614B" w:rsidP="00031198">
      <w:pPr>
        <w:pStyle w:val="Heading1"/>
        <w:jc w:val="center"/>
        <w:rPr>
          <w:rFonts w:cs="Arial"/>
          <w:b/>
          <w:sz w:val="20"/>
          <w:szCs w:val="20"/>
          <w:u w:val="single"/>
          <w:lang w:val="fr-CA"/>
        </w:rPr>
      </w:pPr>
      <w:r w:rsidRPr="00E82CF7">
        <w:rPr>
          <w:rFonts w:cs="Arial"/>
          <w:b/>
          <w:sz w:val="20"/>
          <w:szCs w:val="20"/>
          <w:u w:val="single"/>
          <w:lang w:val="fr-CA"/>
        </w:rPr>
        <w:t>CONVENTION D’ENREGISTREMENT DES DOCUMENTS</w:t>
      </w:r>
    </w:p>
    <w:p w14:paraId="7FE0DEDA" w14:textId="1D02D73F" w:rsidR="00031198" w:rsidRPr="00E82CF7" w:rsidRDefault="00031198" w:rsidP="00031198">
      <w:pPr>
        <w:pStyle w:val="Heading1"/>
        <w:jc w:val="center"/>
        <w:rPr>
          <w:rFonts w:cs="Arial"/>
          <w:b/>
          <w:sz w:val="20"/>
          <w:szCs w:val="20"/>
          <w:u w:val="single"/>
          <w:lang w:val="fr-CA"/>
        </w:rPr>
      </w:pPr>
      <w:r w:rsidRPr="00E82CF7">
        <w:rPr>
          <w:rFonts w:cs="Arial"/>
          <w:b/>
          <w:sz w:val="20"/>
          <w:szCs w:val="20"/>
          <w:u w:val="single"/>
          <w:lang w:val="fr-CA"/>
        </w:rPr>
        <w:t>(</w:t>
      </w:r>
      <w:r w:rsidR="0019794A" w:rsidRPr="00E82CF7">
        <w:rPr>
          <w:rFonts w:cs="Arial"/>
          <w:b/>
          <w:sz w:val="20"/>
          <w:szCs w:val="20"/>
          <w:u w:val="single"/>
          <w:lang w:val="fr-CA"/>
        </w:rPr>
        <w:t xml:space="preserve">AU MOINS </w:t>
      </w:r>
      <w:r w:rsidR="008E6358" w:rsidRPr="00E82CF7">
        <w:rPr>
          <w:rFonts w:cs="Arial"/>
          <w:b/>
          <w:sz w:val="20"/>
          <w:szCs w:val="20"/>
          <w:u w:val="single"/>
          <w:lang w:val="fr-CA"/>
        </w:rPr>
        <w:t>TROIS PARTIES</w:t>
      </w:r>
      <w:r w:rsidRPr="00E82CF7">
        <w:rPr>
          <w:rFonts w:cs="Arial"/>
          <w:b/>
          <w:sz w:val="20"/>
          <w:szCs w:val="20"/>
          <w:u w:val="single"/>
          <w:lang w:val="fr-CA"/>
        </w:rPr>
        <w:t>)</w:t>
      </w:r>
    </w:p>
    <w:p w14:paraId="4C422D90" w14:textId="49B6123E" w:rsidR="00031198" w:rsidRPr="00E82CF7" w:rsidRDefault="00031198" w:rsidP="00496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lang w:val="fr-CA"/>
        </w:rPr>
      </w:pPr>
      <w:r w:rsidRPr="00E82CF7">
        <w:rPr>
          <w:rFonts w:ascii="Arial" w:hAnsi="Arial" w:cs="Arial"/>
          <w:b/>
          <w:sz w:val="20"/>
          <w:szCs w:val="20"/>
          <w:lang w:val="fr-CA"/>
        </w:rPr>
        <w:t>(</w:t>
      </w:r>
      <w:r w:rsidR="0049614B" w:rsidRPr="00E82CF7">
        <w:rPr>
          <w:rFonts w:ascii="Arial" w:hAnsi="Arial" w:cs="Arial"/>
          <w:b/>
          <w:bCs/>
          <w:sz w:val="20"/>
          <w:szCs w:val="20"/>
          <w:lang w:val="fr-CA"/>
        </w:rPr>
        <w:t xml:space="preserve">Le présent document est le même que celui publié sur le site Web du Barreau de l’Ontario le </w:t>
      </w:r>
      <w:r w:rsidR="00E82CF7" w:rsidRPr="00E82CF7">
        <w:rPr>
          <w:rFonts w:ascii="Arial" w:hAnsi="Arial" w:cs="Arial"/>
          <w:b/>
          <w:bCs/>
          <w:sz w:val="20"/>
          <w:szCs w:val="20"/>
          <w:lang w:val="fr-CA"/>
        </w:rPr>
        <w:t>10 juin 2021</w:t>
      </w:r>
      <w:r w:rsidR="0049614B" w:rsidRPr="00E82CF7">
        <w:rPr>
          <w:rStyle w:val="FootnoteReference"/>
          <w:rFonts w:ascii="Arial" w:hAnsi="Arial" w:cs="Arial"/>
          <w:b/>
          <w:bCs/>
          <w:sz w:val="20"/>
          <w:szCs w:val="20"/>
          <w:lang w:val="fr-CA"/>
        </w:rPr>
        <w:footnoteReference w:id="1"/>
      </w:r>
      <w:r w:rsidR="0049614B" w:rsidRPr="00E82CF7">
        <w:rPr>
          <w:rFonts w:ascii="Arial" w:hAnsi="Arial" w:cs="Arial"/>
          <w:b/>
          <w:bCs/>
          <w:sz w:val="20"/>
          <w:szCs w:val="20"/>
          <w:lang w:val="fr-CA"/>
        </w:rPr>
        <w:t xml:space="preserve">, </w:t>
      </w:r>
      <w:r w:rsidR="00EB19A9" w:rsidRPr="00E82CF7">
        <w:rPr>
          <w:rFonts w:ascii="Arial" w:hAnsi="Arial" w:cs="Arial"/>
          <w:b/>
          <w:bCs/>
          <w:sz w:val="20"/>
          <w:szCs w:val="20"/>
          <w:lang w:val="fr-CA"/>
        </w:rPr>
        <w:t xml:space="preserve">à l’exception des </w:t>
      </w:r>
      <w:r w:rsidR="0049614B" w:rsidRPr="00E82CF7">
        <w:rPr>
          <w:rFonts w:ascii="Arial" w:hAnsi="Arial" w:cs="Arial"/>
          <w:b/>
          <w:bCs/>
          <w:sz w:val="20"/>
          <w:szCs w:val="20"/>
          <w:lang w:val="fr-CA"/>
        </w:rPr>
        <w:t>changements clairement indiqués. Tout changement qui n’est pas clairement indiqué n’est pas valide.</w:t>
      </w:r>
      <w:r w:rsidRPr="00E82CF7">
        <w:rPr>
          <w:rFonts w:ascii="Arial" w:hAnsi="Arial" w:cs="Arial"/>
          <w:b/>
          <w:sz w:val="20"/>
          <w:szCs w:val="20"/>
          <w:lang w:val="fr-CA"/>
        </w:rPr>
        <w:t>)</w:t>
      </w:r>
    </w:p>
    <w:p w14:paraId="72750F53" w14:textId="77777777" w:rsidR="00031198" w:rsidRPr="00E82CF7" w:rsidRDefault="00031198" w:rsidP="00031198">
      <w:pPr>
        <w:rPr>
          <w:rFonts w:ascii="Arial" w:hAnsi="Arial" w:cs="Arial"/>
          <w:sz w:val="20"/>
          <w:szCs w:val="20"/>
          <w:lang w:val="fr-CA"/>
        </w:rPr>
      </w:pPr>
    </w:p>
    <w:p w14:paraId="0FD9C862" w14:textId="54F2297C" w:rsidR="00031198" w:rsidRPr="00E82CF7" w:rsidRDefault="0049614B" w:rsidP="00031198">
      <w:pPr>
        <w:rPr>
          <w:rFonts w:ascii="Arial" w:hAnsi="Arial" w:cs="Arial"/>
          <w:b/>
          <w:sz w:val="20"/>
          <w:szCs w:val="20"/>
          <w:lang w:val="fr-CA"/>
        </w:rPr>
      </w:pPr>
      <w:r w:rsidRPr="00E82CF7">
        <w:rPr>
          <w:rFonts w:ascii="Arial" w:hAnsi="Arial" w:cs="Arial"/>
          <w:b/>
          <w:bCs/>
          <w:sz w:val="20"/>
          <w:szCs w:val="20"/>
          <w:lang w:val="fr-CA"/>
        </w:rPr>
        <w:t>CONCLUE ENTRE</w:t>
      </w:r>
      <w:r w:rsidRPr="00E82CF7">
        <w:rPr>
          <w:rFonts w:ascii="Arial" w:hAnsi="Arial" w:cs="Arial"/>
          <w:sz w:val="20"/>
          <w:szCs w:val="20"/>
          <w:lang w:val="fr-CA"/>
        </w:rPr>
        <w:t> </w:t>
      </w:r>
      <w:r w:rsidR="00031198" w:rsidRPr="00E82CF7">
        <w:rPr>
          <w:rFonts w:ascii="Arial" w:hAnsi="Arial" w:cs="Arial"/>
          <w:b/>
          <w:sz w:val="20"/>
          <w:szCs w:val="20"/>
          <w:lang w:val="fr-CA"/>
        </w:rPr>
        <w:t>:</w:t>
      </w:r>
    </w:p>
    <w:p w14:paraId="30E91A5D" w14:textId="77777777" w:rsidR="00031198" w:rsidRPr="00E82CF7" w:rsidRDefault="00031198" w:rsidP="00031198">
      <w:pPr>
        <w:rPr>
          <w:rFonts w:ascii="Arial" w:hAnsi="Arial" w:cs="Arial"/>
          <w:sz w:val="20"/>
          <w:szCs w:val="20"/>
          <w:lang w:val="fr-CA"/>
        </w:rPr>
      </w:pPr>
    </w:p>
    <w:p w14:paraId="79A5358D" w14:textId="75EDA58F"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__________________________________________________________________</w:t>
      </w:r>
      <w:r w:rsidRPr="00E82CF7">
        <w:rPr>
          <w:rFonts w:ascii="Arial" w:hAnsi="Arial" w:cs="Arial"/>
          <w:sz w:val="20"/>
          <w:szCs w:val="20"/>
          <w:lang w:val="fr-CA"/>
        </w:rPr>
        <w:br/>
        <w:t>(</w:t>
      </w:r>
      <w:r w:rsidR="00691770" w:rsidRPr="00E82CF7">
        <w:rPr>
          <w:rFonts w:ascii="Arial" w:hAnsi="Arial" w:cs="Arial"/>
          <w:sz w:val="20"/>
          <w:szCs w:val="20"/>
          <w:lang w:val="fr-CA"/>
        </w:rPr>
        <w:t xml:space="preserve">ci-après désigné </w:t>
      </w:r>
      <w:r w:rsidR="008E6358" w:rsidRPr="00E82CF7">
        <w:rPr>
          <w:rFonts w:ascii="Arial" w:hAnsi="Arial" w:cs="Arial"/>
          <w:sz w:val="20"/>
          <w:szCs w:val="20"/>
          <w:lang w:val="fr-CA"/>
        </w:rPr>
        <w:t>«</w:t>
      </w:r>
      <w:r w:rsidR="00EB7C2A" w:rsidRPr="00E82CF7">
        <w:rPr>
          <w:rFonts w:ascii="Arial" w:hAnsi="Arial" w:cs="Arial"/>
          <w:sz w:val="20"/>
          <w:szCs w:val="20"/>
          <w:lang w:val="fr-CA"/>
        </w:rPr>
        <w:t> </w:t>
      </w:r>
      <w:r w:rsidR="008E6358" w:rsidRPr="00E82CF7">
        <w:rPr>
          <w:rFonts w:ascii="Arial" w:hAnsi="Arial" w:cs="Arial"/>
          <w:sz w:val="20"/>
          <w:szCs w:val="20"/>
          <w:lang w:val="fr-CA"/>
        </w:rPr>
        <w:t>l’avocat de l’acheteur</w:t>
      </w:r>
      <w:r w:rsidR="00EB7C2A" w:rsidRPr="00E82CF7">
        <w:rPr>
          <w:rFonts w:ascii="Arial" w:hAnsi="Arial" w:cs="Arial"/>
          <w:sz w:val="20"/>
          <w:szCs w:val="20"/>
          <w:lang w:val="fr-CA"/>
        </w:rPr>
        <w:t> </w:t>
      </w:r>
      <w:r w:rsidR="008E6358" w:rsidRPr="00E82CF7">
        <w:rPr>
          <w:rFonts w:ascii="Arial" w:hAnsi="Arial" w:cs="Arial"/>
          <w:sz w:val="20"/>
          <w:szCs w:val="20"/>
          <w:lang w:val="fr-CA"/>
        </w:rPr>
        <w:t>»</w:t>
      </w:r>
      <w:r w:rsidRPr="00E82CF7">
        <w:rPr>
          <w:rFonts w:ascii="Arial" w:hAnsi="Arial" w:cs="Arial"/>
          <w:sz w:val="20"/>
          <w:szCs w:val="20"/>
          <w:lang w:val="fr-CA"/>
        </w:rPr>
        <w:t>)</w:t>
      </w:r>
    </w:p>
    <w:p w14:paraId="52046545" w14:textId="77777777" w:rsidR="00031198" w:rsidRPr="00E82CF7" w:rsidRDefault="00031198" w:rsidP="00031198">
      <w:pPr>
        <w:jc w:val="center"/>
        <w:rPr>
          <w:rFonts w:ascii="Arial" w:hAnsi="Arial" w:cs="Arial"/>
          <w:sz w:val="20"/>
          <w:szCs w:val="20"/>
          <w:lang w:val="fr-CA"/>
        </w:rPr>
      </w:pPr>
    </w:p>
    <w:p w14:paraId="66B9E52B" w14:textId="3AE068D1" w:rsidR="00031198" w:rsidRPr="00E82CF7" w:rsidRDefault="0049614B" w:rsidP="00031198">
      <w:pPr>
        <w:rPr>
          <w:rFonts w:ascii="Arial" w:hAnsi="Arial" w:cs="Arial"/>
          <w:b/>
          <w:sz w:val="20"/>
          <w:szCs w:val="20"/>
          <w:lang w:val="fr-CA"/>
        </w:rPr>
      </w:pPr>
      <w:r w:rsidRPr="00E82CF7">
        <w:rPr>
          <w:rFonts w:ascii="Arial" w:hAnsi="Arial" w:cs="Arial"/>
          <w:b/>
          <w:bCs/>
          <w:sz w:val="20"/>
          <w:szCs w:val="20"/>
          <w:lang w:val="fr-CA"/>
        </w:rPr>
        <w:t>ET</w:t>
      </w:r>
      <w:r w:rsidRPr="00E82CF7">
        <w:rPr>
          <w:rFonts w:ascii="Arial" w:hAnsi="Arial" w:cs="Arial"/>
          <w:sz w:val="20"/>
          <w:szCs w:val="20"/>
          <w:lang w:val="fr-CA"/>
        </w:rPr>
        <w:t> </w:t>
      </w:r>
      <w:r w:rsidR="00031198" w:rsidRPr="00E82CF7">
        <w:rPr>
          <w:rFonts w:ascii="Arial" w:hAnsi="Arial" w:cs="Arial"/>
          <w:b/>
          <w:sz w:val="20"/>
          <w:szCs w:val="20"/>
          <w:lang w:val="fr-CA"/>
        </w:rPr>
        <w:t>:</w:t>
      </w:r>
    </w:p>
    <w:p w14:paraId="0499A154" w14:textId="77777777"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__________________________________________________________________</w:t>
      </w:r>
    </w:p>
    <w:p w14:paraId="14CECCEA" w14:textId="204406A5"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w:t>
      </w:r>
      <w:proofErr w:type="gramStart"/>
      <w:r w:rsidR="00691770" w:rsidRPr="00E82CF7">
        <w:rPr>
          <w:rFonts w:ascii="Arial" w:hAnsi="Arial" w:cs="Arial"/>
          <w:sz w:val="20"/>
          <w:szCs w:val="20"/>
          <w:lang w:val="fr-CA"/>
        </w:rPr>
        <w:t>ci</w:t>
      </w:r>
      <w:proofErr w:type="gramEnd"/>
      <w:r w:rsidR="00691770" w:rsidRPr="00E82CF7">
        <w:rPr>
          <w:rFonts w:ascii="Arial" w:hAnsi="Arial" w:cs="Arial"/>
          <w:sz w:val="20"/>
          <w:szCs w:val="20"/>
          <w:lang w:val="fr-CA"/>
        </w:rPr>
        <w:t xml:space="preserve">-après désigné </w:t>
      </w:r>
      <w:r w:rsidR="008E6358" w:rsidRPr="00E82CF7">
        <w:rPr>
          <w:rFonts w:ascii="Arial" w:hAnsi="Arial" w:cs="Arial"/>
          <w:sz w:val="20"/>
          <w:szCs w:val="20"/>
          <w:lang w:val="fr-CA"/>
        </w:rPr>
        <w:t>«</w:t>
      </w:r>
      <w:r w:rsidR="00EB7C2A" w:rsidRPr="00E82CF7">
        <w:rPr>
          <w:rFonts w:ascii="Arial" w:hAnsi="Arial" w:cs="Arial"/>
          <w:sz w:val="20"/>
          <w:szCs w:val="20"/>
          <w:lang w:val="fr-CA"/>
        </w:rPr>
        <w:t> </w:t>
      </w:r>
      <w:r w:rsidR="008E6358" w:rsidRPr="00E82CF7">
        <w:rPr>
          <w:rFonts w:ascii="Arial" w:hAnsi="Arial" w:cs="Arial"/>
          <w:sz w:val="20"/>
          <w:szCs w:val="20"/>
          <w:lang w:val="fr-CA"/>
        </w:rPr>
        <w:t>l’avocat du vendeur</w:t>
      </w:r>
      <w:r w:rsidR="00EB7C2A" w:rsidRPr="00E82CF7">
        <w:rPr>
          <w:rFonts w:ascii="Arial" w:hAnsi="Arial" w:cs="Arial"/>
          <w:sz w:val="20"/>
          <w:szCs w:val="20"/>
          <w:lang w:val="fr-CA"/>
        </w:rPr>
        <w:t> </w:t>
      </w:r>
      <w:r w:rsidR="008E6358" w:rsidRPr="00E82CF7">
        <w:rPr>
          <w:rFonts w:ascii="Arial" w:hAnsi="Arial" w:cs="Arial"/>
          <w:sz w:val="20"/>
          <w:szCs w:val="20"/>
          <w:lang w:val="fr-CA"/>
        </w:rPr>
        <w:t>»</w:t>
      </w:r>
      <w:r w:rsidRPr="00E82CF7">
        <w:rPr>
          <w:rFonts w:ascii="Arial" w:hAnsi="Arial" w:cs="Arial"/>
          <w:sz w:val="20"/>
          <w:szCs w:val="20"/>
          <w:lang w:val="fr-CA"/>
        </w:rPr>
        <w:t>)</w:t>
      </w:r>
    </w:p>
    <w:p w14:paraId="5C97E5BA" w14:textId="77777777" w:rsidR="00031198" w:rsidRPr="00E82CF7" w:rsidRDefault="00031198" w:rsidP="00031198">
      <w:pPr>
        <w:jc w:val="center"/>
        <w:rPr>
          <w:rFonts w:ascii="Arial" w:hAnsi="Arial" w:cs="Arial"/>
          <w:sz w:val="20"/>
          <w:szCs w:val="20"/>
          <w:lang w:val="fr-CA"/>
        </w:rPr>
      </w:pPr>
    </w:p>
    <w:p w14:paraId="39944E95" w14:textId="5968AB8E" w:rsidR="00031198" w:rsidRPr="00E82CF7" w:rsidRDefault="0049614B" w:rsidP="00031198">
      <w:pPr>
        <w:rPr>
          <w:rFonts w:ascii="Arial" w:hAnsi="Arial" w:cs="Arial"/>
          <w:b/>
          <w:sz w:val="20"/>
          <w:szCs w:val="20"/>
          <w:lang w:val="fr-CA"/>
        </w:rPr>
      </w:pPr>
      <w:r w:rsidRPr="00E82CF7">
        <w:rPr>
          <w:rFonts w:ascii="Arial" w:hAnsi="Arial" w:cs="Arial"/>
          <w:b/>
          <w:bCs/>
          <w:sz w:val="20"/>
          <w:szCs w:val="20"/>
          <w:lang w:val="fr-CA"/>
        </w:rPr>
        <w:t>ET</w:t>
      </w:r>
      <w:r w:rsidRPr="00E82CF7">
        <w:rPr>
          <w:rFonts w:ascii="Arial" w:hAnsi="Arial" w:cs="Arial"/>
          <w:sz w:val="20"/>
          <w:szCs w:val="20"/>
          <w:lang w:val="fr-CA"/>
        </w:rPr>
        <w:t> </w:t>
      </w:r>
      <w:r w:rsidR="00031198" w:rsidRPr="00E82CF7">
        <w:rPr>
          <w:rFonts w:ascii="Arial" w:hAnsi="Arial" w:cs="Arial"/>
          <w:b/>
          <w:sz w:val="20"/>
          <w:szCs w:val="20"/>
          <w:lang w:val="fr-CA"/>
        </w:rPr>
        <w:t>:</w:t>
      </w:r>
    </w:p>
    <w:p w14:paraId="09976C38" w14:textId="77777777"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__________________________________________________________________</w:t>
      </w:r>
    </w:p>
    <w:p w14:paraId="111F5BC4" w14:textId="6CBFBD22"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w:t>
      </w:r>
      <w:proofErr w:type="gramStart"/>
      <w:r w:rsidR="00691770" w:rsidRPr="00E82CF7">
        <w:rPr>
          <w:rFonts w:ascii="Arial" w:hAnsi="Arial" w:cs="Arial"/>
          <w:sz w:val="20"/>
          <w:szCs w:val="20"/>
          <w:lang w:val="fr-CA"/>
        </w:rPr>
        <w:t>ci</w:t>
      </w:r>
      <w:proofErr w:type="gramEnd"/>
      <w:r w:rsidR="00691770" w:rsidRPr="00E82CF7">
        <w:rPr>
          <w:rFonts w:ascii="Arial" w:hAnsi="Arial" w:cs="Arial"/>
          <w:sz w:val="20"/>
          <w:szCs w:val="20"/>
          <w:lang w:val="fr-CA"/>
        </w:rPr>
        <w:t xml:space="preserve">-après désigné </w:t>
      </w:r>
      <w:r w:rsidR="008E6358" w:rsidRPr="00E82CF7">
        <w:rPr>
          <w:rFonts w:ascii="Arial" w:hAnsi="Arial" w:cs="Arial"/>
          <w:sz w:val="20"/>
          <w:szCs w:val="20"/>
          <w:lang w:val="fr-CA"/>
        </w:rPr>
        <w:t>«</w:t>
      </w:r>
      <w:r w:rsidR="00EB7C2A" w:rsidRPr="00E82CF7">
        <w:rPr>
          <w:rFonts w:ascii="Arial" w:hAnsi="Arial" w:cs="Arial"/>
          <w:sz w:val="20"/>
          <w:szCs w:val="20"/>
          <w:lang w:val="fr-CA"/>
        </w:rPr>
        <w:t> </w:t>
      </w:r>
      <w:r w:rsidR="008E6358" w:rsidRPr="00E82CF7">
        <w:rPr>
          <w:rFonts w:ascii="Arial" w:hAnsi="Arial" w:cs="Arial"/>
          <w:sz w:val="20"/>
          <w:szCs w:val="20"/>
          <w:lang w:val="fr-CA"/>
        </w:rPr>
        <w:t>l’avocat du prêteur</w:t>
      </w:r>
      <w:r w:rsidR="00EB7C2A" w:rsidRPr="00E82CF7">
        <w:rPr>
          <w:rFonts w:ascii="Arial" w:hAnsi="Arial" w:cs="Arial"/>
          <w:sz w:val="20"/>
          <w:szCs w:val="20"/>
          <w:lang w:val="fr-CA"/>
        </w:rPr>
        <w:t> </w:t>
      </w:r>
      <w:r w:rsidR="008E6358" w:rsidRPr="00E82CF7">
        <w:rPr>
          <w:rFonts w:ascii="Arial" w:hAnsi="Arial" w:cs="Arial"/>
          <w:sz w:val="20"/>
          <w:szCs w:val="20"/>
          <w:lang w:val="fr-CA"/>
        </w:rPr>
        <w:t>»</w:t>
      </w:r>
      <w:r w:rsidRPr="00E82CF7">
        <w:rPr>
          <w:rFonts w:ascii="Arial" w:hAnsi="Arial" w:cs="Arial"/>
          <w:sz w:val="20"/>
          <w:szCs w:val="20"/>
          <w:lang w:val="fr-CA"/>
        </w:rPr>
        <w:t>)</w:t>
      </w:r>
    </w:p>
    <w:p w14:paraId="7B102340" w14:textId="77777777" w:rsidR="00031198" w:rsidRPr="00E82CF7" w:rsidRDefault="00031198" w:rsidP="00031198">
      <w:pPr>
        <w:jc w:val="center"/>
        <w:rPr>
          <w:rFonts w:ascii="Arial" w:hAnsi="Arial" w:cs="Arial"/>
          <w:sz w:val="20"/>
          <w:szCs w:val="20"/>
          <w:lang w:val="fr-CA"/>
        </w:rPr>
      </w:pPr>
    </w:p>
    <w:p w14:paraId="70F52444" w14:textId="19D8991A" w:rsidR="00031198" w:rsidRPr="00E82CF7" w:rsidRDefault="0049614B" w:rsidP="00031198">
      <w:pPr>
        <w:rPr>
          <w:rFonts w:ascii="Arial" w:hAnsi="Arial" w:cs="Arial"/>
          <w:b/>
          <w:sz w:val="20"/>
          <w:szCs w:val="20"/>
          <w:lang w:val="fr-CA"/>
        </w:rPr>
      </w:pPr>
      <w:r w:rsidRPr="00E82CF7">
        <w:rPr>
          <w:rFonts w:ascii="Arial" w:hAnsi="Arial" w:cs="Arial"/>
          <w:b/>
          <w:bCs/>
          <w:sz w:val="20"/>
          <w:szCs w:val="20"/>
          <w:lang w:val="fr-CA"/>
        </w:rPr>
        <w:t>ET</w:t>
      </w:r>
      <w:r w:rsidRPr="00E82CF7">
        <w:rPr>
          <w:rFonts w:ascii="Arial" w:hAnsi="Arial" w:cs="Arial"/>
          <w:sz w:val="20"/>
          <w:szCs w:val="20"/>
          <w:lang w:val="fr-CA"/>
        </w:rPr>
        <w:t> </w:t>
      </w:r>
      <w:r w:rsidR="00031198" w:rsidRPr="00E82CF7">
        <w:rPr>
          <w:rFonts w:ascii="Arial" w:hAnsi="Arial" w:cs="Arial"/>
          <w:b/>
          <w:sz w:val="20"/>
          <w:szCs w:val="20"/>
          <w:lang w:val="fr-CA"/>
        </w:rPr>
        <w:t>:</w:t>
      </w:r>
    </w:p>
    <w:p w14:paraId="077D4822" w14:textId="77777777"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_________________________________________________________________</w:t>
      </w:r>
    </w:p>
    <w:p w14:paraId="2A007812" w14:textId="12C7AF59" w:rsidR="00031198" w:rsidRPr="00E82CF7" w:rsidRDefault="00031198" w:rsidP="00031198">
      <w:pPr>
        <w:jc w:val="center"/>
        <w:rPr>
          <w:rFonts w:ascii="Arial" w:hAnsi="Arial" w:cs="Arial"/>
          <w:sz w:val="20"/>
          <w:szCs w:val="20"/>
          <w:lang w:val="fr-CA"/>
        </w:rPr>
      </w:pPr>
      <w:r w:rsidRPr="00E82CF7">
        <w:rPr>
          <w:rFonts w:ascii="Arial" w:hAnsi="Arial" w:cs="Arial"/>
          <w:sz w:val="20"/>
          <w:szCs w:val="20"/>
          <w:lang w:val="fr-CA"/>
        </w:rPr>
        <w:t>(</w:t>
      </w:r>
      <w:proofErr w:type="gramStart"/>
      <w:r w:rsidR="00691770" w:rsidRPr="00E82CF7">
        <w:rPr>
          <w:rFonts w:ascii="Arial" w:hAnsi="Arial" w:cs="Arial"/>
          <w:sz w:val="20"/>
          <w:szCs w:val="20"/>
          <w:lang w:val="fr-CA"/>
        </w:rPr>
        <w:t>ci</w:t>
      </w:r>
      <w:proofErr w:type="gramEnd"/>
      <w:r w:rsidR="00691770" w:rsidRPr="00E82CF7">
        <w:rPr>
          <w:rFonts w:ascii="Arial" w:hAnsi="Arial" w:cs="Arial"/>
          <w:sz w:val="20"/>
          <w:szCs w:val="20"/>
          <w:lang w:val="fr-CA"/>
        </w:rPr>
        <w:t xml:space="preserve">-après désigné </w:t>
      </w:r>
      <w:r w:rsidR="008E6358" w:rsidRPr="00E82CF7">
        <w:rPr>
          <w:rFonts w:ascii="Arial" w:hAnsi="Arial" w:cs="Arial"/>
          <w:sz w:val="20"/>
          <w:szCs w:val="20"/>
          <w:lang w:val="fr-CA"/>
        </w:rPr>
        <w:t>«</w:t>
      </w:r>
      <w:r w:rsidR="00EB7C2A" w:rsidRPr="00E82CF7">
        <w:rPr>
          <w:rFonts w:ascii="Arial" w:hAnsi="Arial" w:cs="Arial"/>
          <w:sz w:val="20"/>
          <w:szCs w:val="20"/>
          <w:lang w:val="fr-CA"/>
        </w:rPr>
        <w:t> </w:t>
      </w:r>
      <w:r w:rsidR="008E6358" w:rsidRPr="00E82CF7">
        <w:rPr>
          <w:rFonts w:ascii="Arial" w:hAnsi="Arial" w:cs="Arial"/>
          <w:sz w:val="20"/>
          <w:szCs w:val="20"/>
          <w:lang w:val="fr-CA"/>
        </w:rPr>
        <w:t>l’avocat de la quatrième partie</w:t>
      </w:r>
      <w:r w:rsidR="00EB7C2A" w:rsidRPr="00E82CF7">
        <w:rPr>
          <w:rFonts w:ascii="Arial" w:hAnsi="Arial" w:cs="Arial"/>
          <w:sz w:val="20"/>
          <w:szCs w:val="20"/>
          <w:lang w:val="fr-CA"/>
        </w:rPr>
        <w:t> </w:t>
      </w:r>
      <w:r w:rsidR="008E6358" w:rsidRPr="00E82CF7">
        <w:rPr>
          <w:rFonts w:ascii="Arial" w:hAnsi="Arial" w:cs="Arial"/>
          <w:sz w:val="20"/>
          <w:szCs w:val="20"/>
          <w:lang w:val="fr-CA"/>
        </w:rPr>
        <w:t>»</w:t>
      </w:r>
      <w:r w:rsidRPr="00E82CF7">
        <w:rPr>
          <w:rFonts w:ascii="Arial" w:hAnsi="Arial" w:cs="Arial"/>
          <w:sz w:val="20"/>
          <w:szCs w:val="20"/>
          <w:lang w:val="fr-CA"/>
        </w:rPr>
        <w:t>)</w:t>
      </w:r>
    </w:p>
    <w:p w14:paraId="18F5751F" w14:textId="77777777" w:rsidR="00031198" w:rsidRPr="00E82CF7" w:rsidRDefault="00031198" w:rsidP="00031198">
      <w:pPr>
        <w:rPr>
          <w:rFonts w:ascii="Arial" w:hAnsi="Arial" w:cs="Arial"/>
          <w:sz w:val="20"/>
          <w:szCs w:val="20"/>
          <w:lang w:val="fr-CA"/>
        </w:rPr>
      </w:pPr>
    </w:p>
    <w:p w14:paraId="12131791" w14:textId="11C97F90" w:rsidR="00691770" w:rsidRPr="00E82CF7" w:rsidRDefault="00691770" w:rsidP="00691770">
      <w:pPr>
        <w:tabs>
          <w:tab w:val="left" w:pos="1418"/>
          <w:tab w:val="left" w:pos="4882"/>
        </w:tabs>
        <w:spacing w:line="252" w:lineRule="exact"/>
        <w:rPr>
          <w:rFonts w:ascii="Arial" w:hAnsi="Arial" w:cs="Arial"/>
          <w:spacing w:val="1"/>
          <w:sz w:val="20"/>
          <w:szCs w:val="20"/>
          <w:lang w:val="fr-CA" w:eastAsia="en-US"/>
        </w:rPr>
      </w:pPr>
      <w:r w:rsidRPr="00E82CF7">
        <w:rPr>
          <w:rFonts w:ascii="Arial" w:hAnsi="Arial" w:cs="Arial"/>
          <w:b/>
          <w:bCs/>
          <w:sz w:val="20"/>
          <w:szCs w:val="20"/>
          <w:lang w:val="fr-CA"/>
        </w:rPr>
        <w:t>AFFAIRE</w:t>
      </w:r>
      <w:r w:rsidRPr="00E82CF7">
        <w:rPr>
          <w:rFonts w:ascii="Arial" w:hAnsi="Arial" w:cs="Arial"/>
          <w:sz w:val="20"/>
          <w:szCs w:val="20"/>
          <w:lang w:val="fr-CA"/>
        </w:rPr>
        <w:t> :</w:t>
      </w:r>
      <w:r w:rsidRPr="00E82CF7">
        <w:rPr>
          <w:rFonts w:ascii="Arial" w:hAnsi="Arial" w:cs="Arial"/>
          <w:sz w:val="20"/>
          <w:szCs w:val="20"/>
          <w:lang w:val="fr-CA"/>
        </w:rPr>
        <w:tab/>
      </w:r>
      <w:r w:rsidRPr="00E82CF7">
        <w:rPr>
          <w:rFonts w:ascii="Arial" w:hAnsi="Arial" w:cs="Arial"/>
          <w:spacing w:val="-1"/>
          <w:sz w:val="20"/>
          <w:szCs w:val="20"/>
          <w:lang w:val="fr-CA" w:eastAsia="en-US"/>
        </w:rPr>
        <w:t>L’achat</w:t>
      </w:r>
      <w:r w:rsidRPr="00E82CF7">
        <w:rPr>
          <w:rFonts w:ascii="Arial" w:hAnsi="Arial" w:cs="Arial"/>
          <w:spacing w:val="1"/>
          <w:sz w:val="20"/>
          <w:szCs w:val="20"/>
          <w:lang w:val="fr-CA" w:eastAsia="en-US"/>
        </w:rPr>
        <w:t xml:space="preserve"> </w:t>
      </w:r>
      <w:r w:rsidRPr="00E82CF7">
        <w:rPr>
          <w:rFonts w:ascii="Arial" w:hAnsi="Arial" w:cs="Arial"/>
          <w:spacing w:val="-2"/>
          <w:sz w:val="20"/>
          <w:szCs w:val="20"/>
          <w:lang w:val="fr-CA" w:eastAsia="en-US"/>
        </w:rPr>
        <w:t>de</w:t>
      </w:r>
      <w:r w:rsidRPr="00E82CF7">
        <w:rPr>
          <w:rFonts w:ascii="Arial" w:hAnsi="Arial" w:cs="Arial"/>
          <w:spacing w:val="-2"/>
          <w:sz w:val="20"/>
          <w:szCs w:val="20"/>
          <w:u w:color="000000"/>
          <w:lang w:val="fr-CA" w:eastAsia="en-US"/>
        </w:rPr>
        <w:t xml:space="preserve"> </w:t>
      </w:r>
      <w:r w:rsidRPr="00E82CF7">
        <w:rPr>
          <w:rFonts w:ascii="Arial" w:hAnsi="Arial" w:cs="Arial"/>
          <w:sz w:val="20"/>
          <w:szCs w:val="20"/>
          <w:lang w:val="fr-CA"/>
        </w:rPr>
        <w:t>__________</w:t>
      </w:r>
      <w:r w:rsidRPr="00E82CF7">
        <w:rPr>
          <w:rFonts w:ascii="Arial" w:hAnsi="Arial" w:cs="Arial"/>
          <w:spacing w:val="-1"/>
          <w:sz w:val="20"/>
          <w:szCs w:val="20"/>
          <w:lang w:val="fr-CA" w:eastAsia="en-US"/>
        </w:rPr>
        <w:t xml:space="preserve"> (le</w:t>
      </w:r>
      <w:r w:rsidRPr="00E82CF7">
        <w:rPr>
          <w:rFonts w:ascii="Arial" w:hAnsi="Arial" w:cs="Arial"/>
          <w:sz w:val="20"/>
          <w:szCs w:val="20"/>
          <w:lang w:val="fr-CA" w:eastAsia="en-US"/>
        </w:rPr>
        <w:t xml:space="preserve"> «</w:t>
      </w:r>
      <w:r w:rsidRPr="00E82CF7">
        <w:rPr>
          <w:rFonts w:ascii="Arial" w:hAnsi="Arial" w:cs="Arial"/>
          <w:spacing w:val="-5"/>
          <w:sz w:val="20"/>
          <w:szCs w:val="20"/>
          <w:lang w:val="fr-CA" w:eastAsia="en-US"/>
        </w:rPr>
        <w:t> </w:t>
      </w:r>
      <w:r w:rsidRPr="00E82CF7">
        <w:rPr>
          <w:rFonts w:ascii="Arial" w:hAnsi="Arial" w:cs="Arial"/>
          <w:b/>
          <w:sz w:val="20"/>
          <w:szCs w:val="20"/>
          <w:lang w:val="fr-CA" w:eastAsia="en-US"/>
        </w:rPr>
        <w:t>bien</w:t>
      </w:r>
      <w:r w:rsidRPr="00E82CF7">
        <w:rPr>
          <w:rFonts w:ascii="Arial" w:hAnsi="Arial" w:cs="Arial"/>
          <w:bCs/>
          <w:spacing w:val="2"/>
          <w:sz w:val="20"/>
          <w:szCs w:val="20"/>
          <w:lang w:val="fr-CA" w:eastAsia="en-US"/>
        </w:rPr>
        <w:t> </w:t>
      </w:r>
      <w:r w:rsidRPr="00E82CF7">
        <w:rPr>
          <w:rFonts w:ascii="Arial" w:hAnsi="Arial" w:cs="Arial"/>
          <w:spacing w:val="-2"/>
          <w:sz w:val="20"/>
          <w:szCs w:val="20"/>
          <w:lang w:val="fr-CA" w:eastAsia="en-US"/>
        </w:rPr>
        <w:t>»),</w:t>
      </w:r>
      <w:r w:rsidRPr="00E82CF7">
        <w:rPr>
          <w:rFonts w:ascii="Arial" w:hAnsi="Arial" w:cs="Arial"/>
          <w:sz w:val="20"/>
          <w:szCs w:val="20"/>
          <w:lang w:val="fr-CA" w:eastAsia="en-US"/>
        </w:rPr>
        <w:t xml:space="preserve"> conclu</w:t>
      </w:r>
      <w:r w:rsidRPr="00E82CF7">
        <w:rPr>
          <w:rFonts w:ascii="Arial" w:hAnsi="Arial" w:cs="Arial"/>
          <w:spacing w:val="-3"/>
          <w:sz w:val="20"/>
          <w:szCs w:val="20"/>
          <w:lang w:val="fr-CA" w:eastAsia="en-US"/>
        </w:rPr>
        <w:t xml:space="preserve"> </w:t>
      </w:r>
      <w:r w:rsidRPr="00E82CF7">
        <w:rPr>
          <w:rFonts w:ascii="Arial" w:hAnsi="Arial" w:cs="Arial"/>
          <w:spacing w:val="-1"/>
          <w:sz w:val="20"/>
          <w:szCs w:val="20"/>
          <w:lang w:val="fr-CA" w:eastAsia="en-US"/>
        </w:rPr>
        <w:t>entre</w:t>
      </w:r>
      <w:r w:rsidRPr="00E82CF7">
        <w:rPr>
          <w:rFonts w:ascii="Arial" w:hAnsi="Arial" w:cs="Arial"/>
          <w:sz w:val="20"/>
          <w:szCs w:val="20"/>
          <w:u w:color="000000"/>
          <w:lang w:val="fr-CA" w:eastAsia="en-US"/>
        </w:rPr>
        <w:t xml:space="preserve"> </w:t>
      </w:r>
      <w:r w:rsidRPr="00E82CF7">
        <w:rPr>
          <w:rFonts w:ascii="Arial" w:hAnsi="Arial" w:cs="Arial"/>
          <w:sz w:val="20"/>
          <w:szCs w:val="20"/>
          <w:lang w:val="fr-CA"/>
        </w:rPr>
        <w:t>__________</w:t>
      </w:r>
      <w:r w:rsidRPr="00E82CF7">
        <w:rPr>
          <w:rFonts w:ascii="Arial" w:hAnsi="Arial" w:cs="Arial"/>
          <w:spacing w:val="-1"/>
          <w:sz w:val="20"/>
          <w:szCs w:val="20"/>
          <w:lang w:val="fr-CA" w:eastAsia="en-US"/>
        </w:rPr>
        <w:t xml:space="preserve"> (l</w:t>
      </w:r>
      <w:proofErr w:type="gramStart"/>
      <w:r w:rsidRPr="00E82CF7">
        <w:rPr>
          <w:rFonts w:ascii="Arial" w:hAnsi="Arial" w:cs="Arial"/>
          <w:spacing w:val="-1"/>
          <w:sz w:val="20"/>
          <w:szCs w:val="20"/>
          <w:lang w:val="fr-CA" w:eastAsia="en-US"/>
        </w:rPr>
        <w:t>’«</w:t>
      </w:r>
      <w:proofErr w:type="gramEnd"/>
      <w:r w:rsidRPr="00E82CF7">
        <w:rPr>
          <w:rFonts w:ascii="Arial" w:hAnsi="Arial" w:cs="Arial"/>
          <w:spacing w:val="-5"/>
          <w:sz w:val="20"/>
          <w:szCs w:val="20"/>
          <w:lang w:val="fr-CA" w:eastAsia="en-US"/>
        </w:rPr>
        <w:t> </w:t>
      </w:r>
      <w:r w:rsidRPr="00E82CF7">
        <w:rPr>
          <w:rFonts w:ascii="Arial" w:hAnsi="Arial" w:cs="Arial"/>
          <w:bCs/>
          <w:spacing w:val="-1"/>
          <w:sz w:val="20"/>
          <w:szCs w:val="20"/>
          <w:lang w:val="fr-CA" w:eastAsia="en-US"/>
        </w:rPr>
        <w:t>acheteur</w:t>
      </w:r>
      <w:r w:rsidRPr="00E82CF7">
        <w:rPr>
          <w:rFonts w:ascii="Arial" w:hAnsi="Arial" w:cs="Arial"/>
          <w:bCs/>
          <w:sz w:val="20"/>
          <w:szCs w:val="20"/>
          <w:lang w:val="fr-CA" w:eastAsia="en-US"/>
        </w:rPr>
        <w:t> </w:t>
      </w:r>
      <w:r w:rsidRPr="00E82CF7">
        <w:rPr>
          <w:rFonts w:ascii="Arial" w:hAnsi="Arial" w:cs="Arial"/>
          <w:spacing w:val="-3"/>
          <w:sz w:val="20"/>
          <w:szCs w:val="20"/>
          <w:lang w:val="fr-CA" w:eastAsia="en-US"/>
        </w:rPr>
        <w:t>»)</w:t>
      </w:r>
      <w:r w:rsidRPr="00E82CF7">
        <w:rPr>
          <w:rFonts w:ascii="Arial" w:hAnsi="Arial" w:cs="Arial"/>
          <w:spacing w:val="1"/>
          <w:sz w:val="20"/>
          <w:szCs w:val="20"/>
          <w:lang w:val="fr-CA" w:eastAsia="en-US"/>
        </w:rPr>
        <w:t xml:space="preserve"> </w:t>
      </w:r>
    </w:p>
    <w:p w14:paraId="550FB65C" w14:textId="77777777" w:rsidR="00691770" w:rsidRPr="00E82CF7" w:rsidRDefault="00691770" w:rsidP="00691770">
      <w:pPr>
        <w:tabs>
          <w:tab w:val="left" w:pos="1418"/>
          <w:tab w:val="left" w:pos="4882"/>
        </w:tabs>
        <w:spacing w:line="252" w:lineRule="exact"/>
        <w:rPr>
          <w:rFonts w:ascii="Arial" w:hAnsi="Arial" w:cs="Arial"/>
          <w:sz w:val="20"/>
          <w:szCs w:val="20"/>
          <w:lang w:val="fr-CA" w:eastAsia="en-US"/>
        </w:rPr>
      </w:pPr>
      <w:r w:rsidRPr="00E82CF7">
        <w:rPr>
          <w:rFonts w:ascii="Arial" w:hAnsi="Arial" w:cs="Arial"/>
          <w:spacing w:val="1"/>
          <w:sz w:val="20"/>
          <w:szCs w:val="20"/>
          <w:lang w:val="fr-CA" w:eastAsia="en-US"/>
        </w:rPr>
        <w:tab/>
      </w:r>
      <w:proofErr w:type="gramStart"/>
      <w:r w:rsidRPr="00E82CF7">
        <w:rPr>
          <w:rFonts w:ascii="Arial" w:hAnsi="Arial" w:cs="Arial"/>
          <w:sz w:val="20"/>
          <w:szCs w:val="20"/>
          <w:lang w:val="fr-CA" w:eastAsia="en-US"/>
        </w:rPr>
        <w:t>et</w:t>
      </w:r>
      <w:proofErr w:type="gramEnd"/>
      <w:r w:rsidRPr="00E82CF7">
        <w:rPr>
          <w:rFonts w:ascii="Arial" w:hAnsi="Arial" w:cs="Arial"/>
          <w:sz w:val="20"/>
          <w:szCs w:val="20"/>
          <w:lang w:val="fr-CA" w:eastAsia="en-US"/>
        </w:rPr>
        <w:t xml:space="preserve"> </w:t>
      </w:r>
      <w:r w:rsidRPr="00E82CF7">
        <w:rPr>
          <w:rFonts w:ascii="Arial" w:hAnsi="Arial" w:cs="Arial"/>
          <w:sz w:val="20"/>
          <w:szCs w:val="20"/>
          <w:lang w:val="fr-CA"/>
        </w:rPr>
        <w:t>__________</w:t>
      </w:r>
      <w:r w:rsidRPr="00E82CF7">
        <w:rPr>
          <w:rFonts w:ascii="Arial" w:hAnsi="Arial" w:cs="Arial"/>
          <w:spacing w:val="-1"/>
          <w:sz w:val="20"/>
          <w:szCs w:val="20"/>
          <w:lang w:val="fr-CA" w:eastAsia="en-US"/>
        </w:rPr>
        <w:t xml:space="preserve"> (le</w:t>
      </w:r>
      <w:r w:rsidRPr="00E82CF7">
        <w:rPr>
          <w:rFonts w:ascii="Arial" w:hAnsi="Arial" w:cs="Arial"/>
          <w:sz w:val="20"/>
          <w:szCs w:val="20"/>
          <w:lang w:val="fr-CA" w:eastAsia="en-US"/>
        </w:rPr>
        <w:t xml:space="preserve"> «</w:t>
      </w:r>
      <w:r w:rsidRPr="00E82CF7">
        <w:rPr>
          <w:rFonts w:ascii="Arial" w:hAnsi="Arial" w:cs="Arial"/>
          <w:spacing w:val="-5"/>
          <w:sz w:val="20"/>
          <w:szCs w:val="20"/>
          <w:lang w:val="fr-CA" w:eastAsia="en-US"/>
        </w:rPr>
        <w:t> </w:t>
      </w:r>
      <w:r w:rsidRPr="00E82CF7">
        <w:rPr>
          <w:rFonts w:ascii="Arial" w:hAnsi="Arial" w:cs="Arial"/>
          <w:bCs/>
          <w:spacing w:val="-1"/>
          <w:sz w:val="20"/>
          <w:szCs w:val="20"/>
          <w:lang w:val="fr-CA" w:eastAsia="en-US"/>
        </w:rPr>
        <w:t>vendeur</w:t>
      </w:r>
      <w:r w:rsidRPr="00E82CF7">
        <w:rPr>
          <w:rFonts w:ascii="Arial" w:hAnsi="Arial" w:cs="Arial"/>
          <w:bCs/>
          <w:spacing w:val="3"/>
          <w:sz w:val="20"/>
          <w:szCs w:val="20"/>
          <w:lang w:val="fr-CA" w:eastAsia="en-US"/>
        </w:rPr>
        <w:t> </w:t>
      </w:r>
      <w:r w:rsidRPr="00E82CF7">
        <w:rPr>
          <w:rFonts w:ascii="Arial" w:hAnsi="Arial" w:cs="Arial"/>
          <w:spacing w:val="-3"/>
          <w:sz w:val="20"/>
          <w:szCs w:val="20"/>
          <w:lang w:val="fr-CA" w:eastAsia="en-US"/>
        </w:rPr>
        <w:t>»)</w:t>
      </w:r>
      <w:r w:rsidRPr="00E82CF7">
        <w:rPr>
          <w:rFonts w:ascii="Arial" w:hAnsi="Arial" w:cs="Arial"/>
          <w:spacing w:val="1"/>
          <w:sz w:val="20"/>
          <w:szCs w:val="20"/>
          <w:lang w:val="fr-CA" w:eastAsia="en-US"/>
        </w:rPr>
        <w:t xml:space="preserve"> </w:t>
      </w:r>
      <w:r w:rsidRPr="00E82CF7">
        <w:rPr>
          <w:rFonts w:ascii="Arial" w:hAnsi="Arial" w:cs="Arial"/>
          <w:spacing w:val="-1"/>
          <w:sz w:val="20"/>
          <w:szCs w:val="20"/>
          <w:lang w:val="fr-CA" w:eastAsia="en-US"/>
        </w:rPr>
        <w:t>conformément</w:t>
      </w:r>
      <w:r w:rsidRPr="00E82CF7">
        <w:rPr>
          <w:rFonts w:ascii="Arial" w:hAnsi="Arial" w:cs="Arial"/>
          <w:spacing w:val="1"/>
          <w:sz w:val="20"/>
          <w:szCs w:val="20"/>
          <w:lang w:val="fr-CA" w:eastAsia="en-US"/>
        </w:rPr>
        <w:t xml:space="preserve"> </w:t>
      </w:r>
      <w:r w:rsidRPr="00E82CF7">
        <w:rPr>
          <w:rFonts w:ascii="Arial" w:hAnsi="Arial" w:cs="Arial"/>
          <w:sz w:val="20"/>
          <w:szCs w:val="20"/>
          <w:lang w:val="fr-CA" w:eastAsia="en-US"/>
        </w:rPr>
        <w:t>à</w:t>
      </w:r>
      <w:r w:rsidRPr="00E82CF7">
        <w:rPr>
          <w:rFonts w:ascii="Arial" w:hAnsi="Arial" w:cs="Arial"/>
          <w:spacing w:val="39"/>
          <w:sz w:val="20"/>
          <w:szCs w:val="20"/>
          <w:lang w:val="fr-CA" w:eastAsia="en-US"/>
        </w:rPr>
        <w:t xml:space="preserve"> </w:t>
      </w:r>
      <w:r w:rsidRPr="00E82CF7">
        <w:rPr>
          <w:rFonts w:ascii="Arial" w:hAnsi="Arial" w:cs="Arial"/>
          <w:sz w:val="20"/>
          <w:szCs w:val="20"/>
          <w:lang w:val="fr-CA" w:eastAsia="en-US"/>
        </w:rPr>
        <w:t xml:space="preserve">la </w:t>
      </w:r>
      <w:r w:rsidRPr="00E82CF7">
        <w:rPr>
          <w:rFonts w:ascii="Arial" w:hAnsi="Arial" w:cs="Arial"/>
          <w:spacing w:val="-1"/>
          <w:sz w:val="20"/>
          <w:szCs w:val="20"/>
          <w:lang w:val="fr-CA" w:eastAsia="en-US"/>
        </w:rPr>
        <w:t>convention</w:t>
      </w:r>
      <w:r w:rsidRPr="00E82CF7">
        <w:rPr>
          <w:rFonts w:ascii="Arial" w:hAnsi="Arial" w:cs="Arial"/>
          <w:sz w:val="20"/>
          <w:szCs w:val="20"/>
          <w:lang w:val="fr-CA" w:eastAsia="en-US"/>
        </w:rPr>
        <w:t xml:space="preserve"> </w:t>
      </w:r>
      <w:r w:rsidRPr="00E82CF7">
        <w:rPr>
          <w:rFonts w:ascii="Arial" w:hAnsi="Arial" w:cs="Arial"/>
          <w:spacing w:val="-1"/>
          <w:sz w:val="20"/>
          <w:szCs w:val="20"/>
          <w:lang w:val="fr-CA" w:eastAsia="en-US"/>
        </w:rPr>
        <w:t>d’achat-vente</w:t>
      </w:r>
      <w:r w:rsidRPr="00E82CF7">
        <w:rPr>
          <w:rFonts w:ascii="Arial" w:hAnsi="Arial" w:cs="Arial"/>
          <w:sz w:val="20"/>
          <w:szCs w:val="20"/>
          <w:lang w:val="fr-CA" w:eastAsia="en-US"/>
        </w:rPr>
        <w:t xml:space="preserve"> </w:t>
      </w:r>
    </w:p>
    <w:p w14:paraId="2F24B937" w14:textId="07BFB55C" w:rsidR="00691770" w:rsidRPr="00E82CF7" w:rsidRDefault="00691770" w:rsidP="00691770">
      <w:pPr>
        <w:tabs>
          <w:tab w:val="left" w:pos="1418"/>
          <w:tab w:val="left" w:pos="4882"/>
        </w:tabs>
        <w:spacing w:line="252" w:lineRule="exact"/>
        <w:rPr>
          <w:rFonts w:ascii="Arial" w:hAnsi="Arial" w:cs="Arial"/>
          <w:sz w:val="20"/>
          <w:szCs w:val="20"/>
          <w:lang w:val="fr-CA" w:eastAsia="en-US"/>
        </w:rPr>
      </w:pPr>
      <w:r w:rsidRPr="00E82CF7">
        <w:rPr>
          <w:rFonts w:ascii="Arial" w:hAnsi="Arial" w:cs="Arial"/>
          <w:sz w:val="20"/>
          <w:szCs w:val="20"/>
          <w:lang w:val="fr-CA" w:eastAsia="en-US"/>
        </w:rPr>
        <w:tab/>
      </w:r>
      <w:proofErr w:type="gramStart"/>
      <w:r w:rsidRPr="00E82CF7">
        <w:rPr>
          <w:rFonts w:ascii="Arial" w:hAnsi="Arial" w:cs="Arial"/>
          <w:spacing w:val="-1"/>
          <w:sz w:val="20"/>
          <w:szCs w:val="20"/>
          <w:lang w:val="fr-CA" w:eastAsia="en-US"/>
        </w:rPr>
        <w:t>portant</w:t>
      </w:r>
      <w:proofErr w:type="gramEnd"/>
      <w:r w:rsidRPr="00E82CF7">
        <w:rPr>
          <w:rFonts w:ascii="Arial" w:hAnsi="Arial" w:cs="Arial"/>
          <w:spacing w:val="-2"/>
          <w:sz w:val="20"/>
          <w:szCs w:val="20"/>
          <w:lang w:val="fr-CA" w:eastAsia="en-US"/>
        </w:rPr>
        <w:t xml:space="preserve"> </w:t>
      </w:r>
      <w:r w:rsidRPr="00E82CF7">
        <w:rPr>
          <w:rFonts w:ascii="Arial" w:hAnsi="Arial" w:cs="Arial"/>
          <w:sz w:val="20"/>
          <w:szCs w:val="20"/>
          <w:lang w:val="fr-CA" w:eastAsia="en-US"/>
        </w:rPr>
        <w:t>la</w:t>
      </w:r>
      <w:r w:rsidRPr="00E82CF7">
        <w:rPr>
          <w:rFonts w:ascii="Arial" w:hAnsi="Arial" w:cs="Arial"/>
          <w:spacing w:val="-2"/>
          <w:sz w:val="20"/>
          <w:szCs w:val="20"/>
          <w:lang w:val="fr-CA" w:eastAsia="en-US"/>
        </w:rPr>
        <w:t xml:space="preserve"> </w:t>
      </w:r>
      <w:r w:rsidRPr="00E82CF7">
        <w:rPr>
          <w:rFonts w:ascii="Arial" w:hAnsi="Arial" w:cs="Arial"/>
          <w:spacing w:val="-1"/>
          <w:sz w:val="20"/>
          <w:szCs w:val="20"/>
          <w:lang w:val="fr-CA" w:eastAsia="en-US"/>
        </w:rPr>
        <w:t>date</w:t>
      </w:r>
      <w:r w:rsidRPr="00E82CF7">
        <w:rPr>
          <w:rFonts w:ascii="Arial" w:hAnsi="Arial" w:cs="Arial"/>
          <w:sz w:val="20"/>
          <w:szCs w:val="20"/>
          <w:lang w:val="fr-CA" w:eastAsia="en-US"/>
        </w:rPr>
        <w:t xml:space="preserve"> du </w:t>
      </w:r>
      <w:r w:rsidRPr="00E82CF7">
        <w:rPr>
          <w:rFonts w:ascii="Arial" w:hAnsi="Arial" w:cs="Arial"/>
          <w:sz w:val="20"/>
          <w:szCs w:val="20"/>
          <w:lang w:val="fr-CA"/>
        </w:rPr>
        <w:t>__________</w:t>
      </w:r>
      <w:r w:rsidRPr="00E82CF7">
        <w:rPr>
          <w:rFonts w:ascii="Arial" w:hAnsi="Arial" w:cs="Arial"/>
          <w:sz w:val="20"/>
          <w:szCs w:val="20"/>
          <w:lang w:val="fr-CA" w:eastAsia="en-US"/>
        </w:rPr>
        <w:t xml:space="preserve">, </w:t>
      </w:r>
      <w:r w:rsidR="00971DBC" w:rsidRPr="00E82CF7">
        <w:rPr>
          <w:rFonts w:ascii="Arial" w:hAnsi="Arial" w:cs="Arial"/>
          <w:spacing w:val="-1"/>
          <w:sz w:val="20"/>
          <w:szCs w:val="20"/>
          <w:lang w:val="fr-CA" w:eastAsia="en-US"/>
        </w:rPr>
        <w:t>avec</w:t>
      </w:r>
      <w:r w:rsidRPr="00E82CF7">
        <w:rPr>
          <w:rFonts w:ascii="Arial" w:hAnsi="Arial" w:cs="Arial"/>
          <w:sz w:val="20"/>
          <w:szCs w:val="20"/>
          <w:lang w:val="fr-CA" w:eastAsia="en-US"/>
        </w:rPr>
        <w:t xml:space="preserve"> </w:t>
      </w:r>
      <w:r w:rsidRPr="00E82CF7">
        <w:rPr>
          <w:rFonts w:ascii="Arial" w:hAnsi="Arial" w:cs="Arial"/>
          <w:spacing w:val="-1"/>
          <w:sz w:val="20"/>
          <w:szCs w:val="20"/>
          <w:lang w:val="fr-CA" w:eastAsia="en-US"/>
        </w:rPr>
        <w:t>ses</w:t>
      </w:r>
      <w:r w:rsidRPr="00E82CF7">
        <w:rPr>
          <w:rFonts w:ascii="Arial" w:hAnsi="Arial" w:cs="Arial"/>
          <w:sz w:val="20"/>
          <w:szCs w:val="20"/>
          <w:lang w:val="fr-CA" w:eastAsia="en-US"/>
        </w:rPr>
        <w:t xml:space="preserve"> </w:t>
      </w:r>
      <w:r w:rsidRPr="00E82CF7">
        <w:rPr>
          <w:rFonts w:ascii="Arial" w:hAnsi="Arial" w:cs="Arial"/>
          <w:spacing w:val="-1"/>
          <w:sz w:val="20"/>
          <w:szCs w:val="20"/>
          <w:lang w:val="fr-CA" w:eastAsia="en-US"/>
        </w:rPr>
        <w:t>modifications</w:t>
      </w:r>
      <w:r w:rsidRPr="00E82CF7">
        <w:rPr>
          <w:rFonts w:ascii="Arial" w:hAnsi="Arial" w:cs="Arial"/>
          <w:spacing w:val="45"/>
          <w:sz w:val="20"/>
          <w:szCs w:val="20"/>
          <w:lang w:val="fr-CA" w:eastAsia="en-US"/>
        </w:rPr>
        <w:t xml:space="preserve"> </w:t>
      </w:r>
      <w:r w:rsidRPr="00E82CF7">
        <w:rPr>
          <w:rFonts w:ascii="Arial" w:hAnsi="Arial" w:cs="Arial"/>
          <w:spacing w:val="-1"/>
          <w:sz w:val="20"/>
          <w:szCs w:val="20"/>
          <w:lang w:val="fr-CA" w:eastAsia="en-US"/>
        </w:rPr>
        <w:t>successives</w:t>
      </w:r>
      <w:r w:rsidRPr="00E82CF7">
        <w:rPr>
          <w:rFonts w:ascii="Arial" w:hAnsi="Arial" w:cs="Arial"/>
          <w:sz w:val="20"/>
          <w:szCs w:val="20"/>
          <w:lang w:val="fr-CA" w:eastAsia="en-US"/>
        </w:rPr>
        <w:t xml:space="preserve">, </w:t>
      </w:r>
      <w:r w:rsidRPr="00E82CF7">
        <w:rPr>
          <w:rFonts w:ascii="Arial" w:hAnsi="Arial" w:cs="Arial"/>
          <w:spacing w:val="-1"/>
          <w:sz w:val="20"/>
          <w:szCs w:val="20"/>
          <w:lang w:val="fr-CA" w:eastAsia="en-US"/>
        </w:rPr>
        <w:t>(la</w:t>
      </w:r>
      <w:r w:rsidRPr="00E82CF7">
        <w:rPr>
          <w:rFonts w:ascii="Arial" w:hAnsi="Arial" w:cs="Arial"/>
          <w:sz w:val="20"/>
          <w:szCs w:val="20"/>
          <w:lang w:val="fr-CA" w:eastAsia="en-US"/>
        </w:rPr>
        <w:t xml:space="preserve"> «</w:t>
      </w:r>
      <w:r w:rsidRPr="00E82CF7">
        <w:rPr>
          <w:rFonts w:ascii="Arial" w:hAnsi="Arial" w:cs="Arial"/>
          <w:spacing w:val="-5"/>
          <w:sz w:val="20"/>
          <w:szCs w:val="20"/>
          <w:lang w:val="fr-CA" w:eastAsia="en-US"/>
        </w:rPr>
        <w:t> </w:t>
      </w:r>
      <w:r w:rsidRPr="00E82CF7">
        <w:rPr>
          <w:rFonts w:ascii="Arial" w:hAnsi="Arial" w:cs="Arial"/>
          <w:b/>
          <w:spacing w:val="-1"/>
          <w:sz w:val="20"/>
          <w:szCs w:val="20"/>
          <w:lang w:val="fr-CA" w:eastAsia="en-US"/>
        </w:rPr>
        <w:t>convention d’achat</w:t>
      </w:r>
      <w:r w:rsidRPr="00E82CF7">
        <w:rPr>
          <w:rFonts w:ascii="Arial" w:hAnsi="Arial" w:cs="Arial"/>
          <w:bCs/>
          <w:spacing w:val="1"/>
          <w:sz w:val="20"/>
          <w:szCs w:val="20"/>
          <w:lang w:val="fr-CA" w:eastAsia="en-US"/>
        </w:rPr>
        <w:t> </w:t>
      </w:r>
      <w:r w:rsidRPr="00E82CF7">
        <w:rPr>
          <w:rFonts w:ascii="Arial" w:hAnsi="Arial" w:cs="Arial"/>
          <w:spacing w:val="-2"/>
          <w:sz w:val="20"/>
          <w:szCs w:val="20"/>
          <w:lang w:val="fr-CA" w:eastAsia="en-US"/>
        </w:rPr>
        <w:t>»),</w:t>
      </w:r>
      <w:r w:rsidRPr="00E82CF7">
        <w:rPr>
          <w:rFonts w:ascii="Arial" w:hAnsi="Arial" w:cs="Arial"/>
          <w:sz w:val="20"/>
          <w:szCs w:val="20"/>
          <w:lang w:val="fr-CA" w:eastAsia="en-US"/>
        </w:rPr>
        <w:t xml:space="preserve"> </w:t>
      </w:r>
    </w:p>
    <w:p w14:paraId="03DEC202" w14:textId="065271AD" w:rsidR="00691770" w:rsidRPr="00E82CF7" w:rsidRDefault="00691770" w:rsidP="00691770">
      <w:pPr>
        <w:tabs>
          <w:tab w:val="left" w:pos="1418"/>
          <w:tab w:val="left" w:pos="4882"/>
        </w:tabs>
        <w:spacing w:line="252" w:lineRule="exact"/>
        <w:rPr>
          <w:rFonts w:ascii="Arial" w:hAnsi="Arial" w:cs="Arial"/>
          <w:b/>
          <w:bCs/>
          <w:sz w:val="20"/>
          <w:szCs w:val="20"/>
          <w:lang w:val="fr-CA"/>
        </w:rPr>
      </w:pPr>
      <w:r w:rsidRPr="00E82CF7">
        <w:rPr>
          <w:rFonts w:ascii="Arial" w:hAnsi="Arial" w:cs="Arial"/>
          <w:sz w:val="20"/>
          <w:szCs w:val="20"/>
          <w:lang w:val="fr-CA" w:eastAsia="en-US"/>
        </w:rPr>
        <w:tab/>
      </w:r>
      <w:proofErr w:type="gramStart"/>
      <w:r w:rsidRPr="00E82CF7">
        <w:rPr>
          <w:rFonts w:ascii="Arial" w:hAnsi="Arial" w:cs="Arial"/>
          <w:sz w:val="20"/>
          <w:szCs w:val="20"/>
          <w:lang w:val="fr-CA" w:eastAsia="en-US"/>
        </w:rPr>
        <w:t>dont</w:t>
      </w:r>
      <w:proofErr w:type="gramEnd"/>
      <w:r w:rsidRPr="00E82CF7">
        <w:rPr>
          <w:rFonts w:ascii="Arial" w:hAnsi="Arial" w:cs="Arial"/>
          <w:spacing w:val="1"/>
          <w:sz w:val="20"/>
          <w:szCs w:val="20"/>
          <w:lang w:val="fr-CA" w:eastAsia="en-US"/>
        </w:rPr>
        <w:t xml:space="preserve"> </w:t>
      </w:r>
      <w:r w:rsidRPr="00E82CF7">
        <w:rPr>
          <w:rFonts w:ascii="Arial" w:hAnsi="Arial" w:cs="Arial"/>
          <w:spacing w:val="-1"/>
          <w:sz w:val="20"/>
          <w:szCs w:val="20"/>
          <w:lang w:val="fr-CA" w:eastAsia="en-US"/>
        </w:rPr>
        <w:t>la</w:t>
      </w:r>
      <w:r w:rsidRPr="00E82CF7">
        <w:rPr>
          <w:rFonts w:ascii="Arial" w:hAnsi="Arial" w:cs="Arial"/>
          <w:sz w:val="20"/>
          <w:szCs w:val="20"/>
          <w:lang w:val="fr-CA" w:eastAsia="en-US"/>
        </w:rPr>
        <w:t xml:space="preserve"> </w:t>
      </w:r>
      <w:r w:rsidRPr="00E82CF7">
        <w:rPr>
          <w:rFonts w:ascii="Arial" w:hAnsi="Arial" w:cs="Arial"/>
          <w:spacing w:val="-1"/>
          <w:sz w:val="20"/>
          <w:szCs w:val="20"/>
          <w:lang w:val="fr-CA" w:eastAsia="en-US"/>
        </w:rPr>
        <w:t>date</w:t>
      </w:r>
      <w:r w:rsidRPr="00E82CF7">
        <w:rPr>
          <w:rFonts w:ascii="Arial" w:hAnsi="Arial" w:cs="Arial"/>
          <w:spacing w:val="-2"/>
          <w:sz w:val="20"/>
          <w:szCs w:val="20"/>
          <w:lang w:val="fr-CA" w:eastAsia="en-US"/>
        </w:rPr>
        <w:t xml:space="preserve"> </w:t>
      </w:r>
      <w:r w:rsidRPr="00E82CF7">
        <w:rPr>
          <w:rFonts w:ascii="Arial" w:hAnsi="Arial" w:cs="Arial"/>
          <w:spacing w:val="-1"/>
          <w:sz w:val="20"/>
          <w:szCs w:val="20"/>
          <w:lang w:val="fr-CA" w:eastAsia="en-US"/>
        </w:rPr>
        <w:t>d’exécution</w:t>
      </w:r>
      <w:r w:rsidRPr="00E82CF7">
        <w:rPr>
          <w:rFonts w:ascii="Arial" w:hAnsi="Arial" w:cs="Arial"/>
          <w:spacing w:val="-3"/>
          <w:sz w:val="20"/>
          <w:szCs w:val="20"/>
          <w:lang w:val="fr-CA" w:eastAsia="en-US"/>
        </w:rPr>
        <w:t xml:space="preserve"> </w:t>
      </w:r>
      <w:r w:rsidRPr="00E82CF7">
        <w:rPr>
          <w:rFonts w:ascii="Arial" w:hAnsi="Arial" w:cs="Arial"/>
          <w:spacing w:val="-1"/>
          <w:sz w:val="20"/>
          <w:szCs w:val="20"/>
          <w:lang w:val="fr-CA" w:eastAsia="en-US"/>
        </w:rPr>
        <w:t>prévue</w:t>
      </w:r>
      <w:r w:rsidRPr="00E82CF7">
        <w:rPr>
          <w:rFonts w:ascii="Arial" w:hAnsi="Arial" w:cs="Arial"/>
          <w:sz w:val="20"/>
          <w:szCs w:val="20"/>
          <w:lang w:val="fr-CA" w:eastAsia="en-US"/>
        </w:rPr>
        <w:t xml:space="preserve"> </w:t>
      </w:r>
      <w:r w:rsidRPr="00E82CF7">
        <w:rPr>
          <w:rFonts w:ascii="Arial" w:hAnsi="Arial" w:cs="Arial"/>
          <w:spacing w:val="-1"/>
          <w:sz w:val="20"/>
          <w:szCs w:val="20"/>
          <w:lang w:val="fr-CA" w:eastAsia="en-US"/>
        </w:rPr>
        <w:t>est</w:t>
      </w:r>
      <w:r w:rsidRPr="00E82CF7">
        <w:rPr>
          <w:rFonts w:ascii="Arial" w:hAnsi="Arial" w:cs="Arial"/>
          <w:spacing w:val="-2"/>
          <w:sz w:val="20"/>
          <w:szCs w:val="20"/>
          <w:lang w:val="fr-CA" w:eastAsia="en-US"/>
        </w:rPr>
        <w:t xml:space="preserve"> </w:t>
      </w:r>
      <w:r w:rsidRPr="00E82CF7">
        <w:rPr>
          <w:rFonts w:ascii="Arial" w:hAnsi="Arial" w:cs="Arial"/>
          <w:sz w:val="20"/>
          <w:szCs w:val="20"/>
          <w:lang w:val="fr-CA" w:eastAsia="en-US"/>
        </w:rPr>
        <w:t xml:space="preserve">le </w:t>
      </w:r>
      <w:r w:rsidRPr="00E82CF7">
        <w:rPr>
          <w:rFonts w:ascii="Arial" w:hAnsi="Arial" w:cs="Arial"/>
          <w:sz w:val="20"/>
          <w:szCs w:val="20"/>
          <w:lang w:val="fr-CA"/>
        </w:rPr>
        <w:t>__________</w:t>
      </w:r>
      <w:r w:rsidRPr="00E82CF7">
        <w:rPr>
          <w:rFonts w:ascii="Arial" w:eastAsia="Calibri" w:hAnsi="Arial" w:cs="Arial"/>
          <w:spacing w:val="-1"/>
          <w:sz w:val="20"/>
          <w:szCs w:val="20"/>
          <w:lang w:val="fr-CA" w:eastAsia="en-US"/>
        </w:rPr>
        <w:t xml:space="preserve"> (le</w:t>
      </w:r>
      <w:r w:rsidRPr="00E82CF7">
        <w:rPr>
          <w:rFonts w:ascii="Arial" w:eastAsia="Calibri" w:hAnsi="Arial" w:cs="Arial"/>
          <w:sz w:val="20"/>
          <w:szCs w:val="20"/>
          <w:lang w:val="fr-CA" w:eastAsia="en-US"/>
        </w:rPr>
        <w:t xml:space="preserve"> «</w:t>
      </w:r>
      <w:r w:rsidRPr="00E82CF7">
        <w:rPr>
          <w:rFonts w:ascii="Arial" w:eastAsia="Calibri" w:hAnsi="Arial" w:cs="Arial"/>
          <w:spacing w:val="-5"/>
          <w:sz w:val="20"/>
          <w:szCs w:val="20"/>
          <w:lang w:val="fr-CA" w:eastAsia="en-US"/>
        </w:rPr>
        <w:t> </w:t>
      </w:r>
      <w:r w:rsidRPr="00E82CF7">
        <w:rPr>
          <w:rFonts w:ascii="Arial" w:eastAsia="Calibri" w:hAnsi="Arial" w:cs="Arial"/>
          <w:b/>
          <w:bCs/>
          <w:spacing w:val="-1"/>
          <w:sz w:val="20"/>
          <w:szCs w:val="20"/>
          <w:lang w:val="fr-CA" w:eastAsia="en-US"/>
        </w:rPr>
        <w:t>jour</w:t>
      </w:r>
      <w:r w:rsidRPr="00E82CF7">
        <w:rPr>
          <w:rFonts w:ascii="Arial" w:eastAsia="Calibri" w:hAnsi="Arial" w:cs="Arial"/>
          <w:b/>
          <w:bCs/>
          <w:sz w:val="20"/>
          <w:szCs w:val="20"/>
          <w:lang w:val="fr-CA" w:eastAsia="en-US"/>
        </w:rPr>
        <w:t xml:space="preserve"> </w:t>
      </w:r>
      <w:r w:rsidRPr="00E82CF7">
        <w:rPr>
          <w:rFonts w:ascii="Arial" w:eastAsia="Calibri" w:hAnsi="Arial" w:cs="Arial"/>
          <w:b/>
          <w:bCs/>
          <w:spacing w:val="-1"/>
          <w:sz w:val="20"/>
          <w:szCs w:val="20"/>
          <w:lang w:val="fr-CA" w:eastAsia="en-US"/>
        </w:rPr>
        <w:t>d</w:t>
      </w:r>
      <w:r w:rsidR="00EB19A9" w:rsidRPr="00E82CF7">
        <w:rPr>
          <w:rFonts w:ascii="Arial" w:eastAsia="Calibri" w:hAnsi="Arial" w:cs="Arial"/>
          <w:b/>
          <w:bCs/>
          <w:spacing w:val="-1"/>
          <w:sz w:val="20"/>
          <w:szCs w:val="20"/>
          <w:lang w:val="fr-CA" w:eastAsia="en-US"/>
        </w:rPr>
        <w:t>e clôture</w:t>
      </w:r>
      <w:r w:rsidRPr="00E82CF7">
        <w:rPr>
          <w:rFonts w:ascii="Arial" w:eastAsia="Calibri" w:hAnsi="Arial" w:cs="Arial"/>
          <w:spacing w:val="1"/>
          <w:sz w:val="20"/>
          <w:szCs w:val="20"/>
          <w:lang w:val="fr-CA" w:eastAsia="en-US"/>
        </w:rPr>
        <w:t> </w:t>
      </w:r>
      <w:r w:rsidRPr="00E82CF7">
        <w:rPr>
          <w:rFonts w:ascii="Arial" w:eastAsia="Calibri" w:hAnsi="Arial" w:cs="Arial"/>
          <w:spacing w:val="-5"/>
          <w:sz w:val="20"/>
          <w:szCs w:val="20"/>
          <w:lang w:val="fr-CA" w:eastAsia="en-US"/>
        </w:rPr>
        <w:t>»)</w:t>
      </w:r>
    </w:p>
    <w:p w14:paraId="2045AA15" w14:textId="77777777" w:rsidR="00691770" w:rsidRPr="00E82CF7" w:rsidRDefault="00691770" w:rsidP="00463408">
      <w:pPr>
        <w:tabs>
          <w:tab w:val="left" w:pos="1418"/>
          <w:tab w:val="left" w:pos="4882"/>
        </w:tabs>
        <w:spacing w:line="252" w:lineRule="exact"/>
        <w:rPr>
          <w:rFonts w:ascii="Arial" w:hAnsi="Arial" w:cs="Arial"/>
          <w:b/>
          <w:bCs/>
          <w:sz w:val="20"/>
          <w:szCs w:val="20"/>
          <w:lang w:val="fr-CA"/>
        </w:rPr>
      </w:pPr>
    </w:p>
    <w:p w14:paraId="7435E770" w14:textId="283238B2" w:rsidR="00031198" w:rsidRPr="00E82CF7" w:rsidRDefault="00691770" w:rsidP="00463408">
      <w:pPr>
        <w:tabs>
          <w:tab w:val="left" w:pos="1418"/>
          <w:tab w:val="left" w:pos="4882"/>
        </w:tabs>
        <w:spacing w:line="252" w:lineRule="exact"/>
        <w:rPr>
          <w:rFonts w:ascii="Arial" w:hAnsi="Arial" w:cs="Arial"/>
          <w:sz w:val="20"/>
          <w:szCs w:val="20"/>
          <w:lang w:val="fr-CA"/>
        </w:rPr>
      </w:pPr>
      <w:r w:rsidRPr="00E82CF7">
        <w:rPr>
          <w:rFonts w:ascii="Arial" w:hAnsi="Arial" w:cs="Arial"/>
          <w:b/>
          <w:sz w:val="20"/>
          <w:szCs w:val="20"/>
          <w:lang w:val="fr-CA"/>
        </w:rPr>
        <w:t>ET :</w:t>
      </w:r>
      <w:r w:rsidRPr="00E82CF7">
        <w:rPr>
          <w:rFonts w:ascii="Arial" w:hAnsi="Arial" w:cs="Arial"/>
          <w:sz w:val="20"/>
          <w:szCs w:val="20"/>
          <w:lang w:val="fr-CA"/>
        </w:rPr>
        <w:t xml:space="preserve"> </w:t>
      </w:r>
      <w:r w:rsidR="002149E9" w:rsidRPr="00E82CF7">
        <w:rPr>
          <w:rFonts w:ascii="Arial" w:hAnsi="Arial" w:cs="Arial"/>
          <w:sz w:val="20"/>
          <w:szCs w:val="20"/>
          <w:lang w:val="fr-CA"/>
        </w:rPr>
        <w:t>E</w:t>
      </w:r>
      <w:r w:rsidR="00463408" w:rsidRPr="00E82CF7">
        <w:rPr>
          <w:rFonts w:ascii="Arial" w:hAnsi="Arial" w:cs="Arial"/>
          <w:sz w:val="20"/>
          <w:szCs w:val="20"/>
          <w:lang w:val="fr-CA"/>
        </w:rPr>
        <w:t xml:space="preserve">mprunt de l’acheteur à </w:t>
      </w:r>
      <w:r w:rsidR="008E6358" w:rsidRPr="00E82CF7">
        <w:rPr>
          <w:rFonts w:ascii="Arial" w:hAnsi="Arial" w:cs="Arial"/>
          <w:sz w:val="20"/>
          <w:szCs w:val="20"/>
          <w:lang w:val="fr-CA"/>
        </w:rPr>
        <w:t>__________ (le « </w:t>
      </w:r>
      <w:r w:rsidR="008E6358" w:rsidRPr="00E82CF7">
        <w:rPr>
          <w:rFonts w:ascii="Arial" w:hAnsi="Arial" w:cs="Arial"/>
          <w:b/>
          <w:bCs/>
          <w:sz w:val="20"/>
          <w:szCs w:val="20"/>
          <w:lang w:val="fr-CA"/>
        </w:rPr>
        <w:t>prêteur</w:t>
      </w:r>
      <w:r w:rsidR="008E6358" w:rsidRPr="00E82CF7">
        <w:rPr>
          <w:rFonts w:ascii="Arial" w:hAnsi="Arial" w:cs="Arial"/>
          <w:sz w:val="20"/>
          <w:szCs w:val="20"/>
          <w:lang w:val="fr-CA"/>
        </w:rPr>
        <w:t xml:space="preserve"> ») </w:t>
      </w:r>
      <w:r w:rsidR="00463408" w:rsidRPr="00E82CF7">
        <w:rPr>
          <w:rFonts w:ascii="Arial" w:hAnsi="Arial" w:cs="Arial"/>
          <w:sz w:val="20"/>
          <w:szCs w:val="20"/>
          <w:lang w:val="fr-CA"/>
        </w:rPr>
        <w:t xml:space="preserve">garanti par une hypothèque </w:t>
      </w:r>
      <w:r w:rsidR="0081527F" w:rsidRPr="00E82CF7">
        <w:rPr>
          <w:rFonts w:ascii="Arial" w:hAnsi="Arial" w:cs="Arial"/>
          <w:sz w:val="20"/>
          <w:szCs w:val="20"/>
          <w:lang w:val="fr-CA"/>
        </w:rPr>
        <w:t xml:space="preserve">de PREMIER RANG </w:t>
      </w:r>
      <w:r w:rsidR="00463408" w:rsidRPr="00E82CF7">
        <w:rPr>
          <w:rFonts w:ascii="Arial" w:hAnsi="Arial" w:cs="Arial"/>
          <w:sz w:val="20"/>
          <w:szCs w:val="20"/>
          <w:lang w:val="fr-CA"/>
        </w:rPr>
        <w:t xml:space="preserve">sur le bien et les documents connexes (ajouter d’autres parties si plus d’une hypothèque) </w:t>
      </w:r>
    </w:p>
    <w:p w14:paraId="436E64EC" w14:textId="77777777" w:rsidR="00031198" w:rsidRPr="00E82CF7" w:rsidRDefault="00031198" w:rsidP="00031198">
      <w:pPr>
        <w:rPr>
          <w:rFonts w:ascii="Arial" w:hAnsi="Arial" w:cs="Arial"/>
          <w:sz w:val="20"/>
          <w:szCs w:val="20"/>
          <w:lang w:val="fr-CA"/>
        </w:rPr>
      </w:pPr>
    </w:p>
    <w:p w14:paraId="7D229217" w14:textId="5916C530" w:rsidR="00031198" w:rsidRPr="00E82CF7" w:rsidRDefault="008E6358" w:rsidP="00031198">
      <w:pPr>
        <w:rPr>
          <w:rFonts w:ascii="Arial" w:hAnsi="Arial" w:cs="Arial"/>
          <w:sz w:val="20"/>
          <w:szCs w:val="20"/>
          <w:lang w:val="fr-CA"/>
        </w:rPr>
      </w:pPr>
      <w:r w:rsidRPr="00E82CF7">
        <w:rPr>
          <w:rFonts w:ascii="Arial" w:hAnsi="Arial" w:cs="Arial"/>
          <w:b/>
          <w:sz w:val="20"/>
          <w:szCs w:val="20"/>
          <w:lang w:val="fr-CA"/>
        </w:rPr>
        <w:t>ET </w:t>
      </w:r>
      <w:r w:rsidR="00031198" w:rsidRPr="00E82CF7">
        <w:rPr>
          <w:rFonts w:ascii="Arial" w:hAnsi="Arial" w:cs="Arial"/>
          <w:b/>
          <w:sz w:val="20"/>
          <w:szCs w:val="20"/>
          <w:lang w:val="fr-CA"/>
        </w:rPr>
        <w:t>:</w:t>
      </w:r>
      <w:r w:rsidR="002149E9" w:rsidRPr="00E82CF7">
        <w:rPr>
          <w:rFonts w:ascii="Arial" w:hAnsi="Arial" w:cs="Arial"/>
          <w:sz w:val="20"/>
          <w:szCs w:val="20"/>
          <w:lang w:val="fr-CA"/>
        </w:rPr>
        <w:t xml:space="preserve"> </w:t>
      </w:r>
      <w:r w:rsidRPr="00E82CF7">
        <w:rPr>
          <w:rFonts w:ascii="Arial" w:hAnsi="Arial" w:cs="Arial"/>
          <w:sz w:val="20"/>
          <w:szCs w:val="20"/>
          <w:lang w:val="fr-CA"/>
        </w:rPr>
        <w:t xml:space="preserve">La __________ [type de transaction, par exemple, </w:t>
      </w:r>
      <w:r w:rsidR="00D9097D" w:rsidRPr="00E82CF7">
        <w:rPr>
          <w:rFonts w:ascii="Arial" w:hAnsi="Arial" w:cs="Arial"/>
          <w:sz w:val="20"/>
          <w:szCs w:val="20"/>
          <w:lang w:val="fr-CA"/>
        </w:rPr>
        <w:t xml:space="preserve">mainlevée </w:t>
      </w:r>
      <w:r w:rsidRPr="00E82CF7">
        <w:rPr>
          <w:rFonts w:ascii="Arial" w:hAnsi="Arial" w:cs="Arial"/>
          <w:sz w:val="20"/>
          <w:szCs w:val="20"/>
          <w:lang w:val="fr-CA"/>
        </w:rPr>
        <w:t>d’hypothèque privée] de __________ (la « </w:t>
      </w:r>
      <w:r w:rsidRPr="00E82CF7">
        <w:rPr>
          <w:rFonts w:ascii="Arial" w:hAnsi="Arial" w:cs="Arial"/>
          <w:b/>
          <w:bCs/>
          <w:sz w:val="20"/>
          <w:szCs w:val="20"/>
          <w:lang w:val="fr-CA"/>
        </w:rPr>
        <w:t>quatrième partie</w:t>
      </w:r>
      <w:r w:rsidRPr="00E82CF7">
        <w:rPr>
          <w:rFonts w:ascii="Arial" w:hAnsi="Arial" w:cs="Arial"/>
          <w:sz w:val="20"/>
          <w:szCs w:val="20"/>
          <w:lang w:val="fr-CA"/>
        </w:rPr>
        <w:t xml:space="preserve"> ») </w:t>
      </w:r>
      <w:r w:rsidR="002149E9" w:rsidRPr="00E82CF7">
        <w:rPr>
          <w:rFonts w:ascii="Arial" w:hAnsi="Arial" w:cs="Arial"/>
          <w:sz w:val="20"/>
          <w:szCs w:val="20"/>
          <w:lang w:val="fr-CA"/>
        </w:rPr>
        <w:t xml:space="preserve">enregistrée sous le numéro </w:t>
      </w:r>
      <w:r w:rsidR="002149E9" w:rsidRPr="00E82CF7">
        <w:rPr>
          <w:rFonts w:ascii="Arial" w:hAnsi="Arial" w:cs="Arial"/>
          <w:sz w:val="20"/>
          <w:szCs w:val="20"/>
          <w:u w:val="single"/>
          <w:lang w:val="fr-CA"/>
        </w:rPr>
        <w:t>______</w:t>
      </w:r>
      <w:r w:rsidR="002149E9" w:rsidRPr="00E82CF7">
        <w:rPr>
          <w:rFonts w:ascii="Arial" w:hAnsi="Arial" w:cs="Arial"/>
          <w:sz w:val="20"/>
          <w:szCs w:val="20"/>
          <w:lang w:val="fr-CA"/>
        </w:rPr>
        <w:t xml:space="preserve"> le (</w:t>
      </w:r>
      <w:r w:rsidRPr="00E82CF7">
        <w:rPr>
          <w:rFonts w:ascii="Arial" w:hAnsi="Arial" w:cs="Arial"/>
          <w:sz w:val="20"/>
          <w:szCs w:val="20"/>
          <w:lang w:val="fr-CA"/>
        </w:rPr>
        <w:t>date</w:t>
      </w:r>
      <w:r w:rsidR="002149E9" w:rsidRPr="00E82CF7">
        <w:rPr>
          <w:rFonts w:ascii="Arial" w:hAnsi="Arial" w:cs="Arial"/>
          <w:sz w:val="20"/>
          <w:szCs w:val="20"/>
          <w:lang w:val="fr-CA"/>
        </w:rPr>
        <w:t xml:space="preserve">) </w:t>
      </w:r>
      <w:r w:rsidR="002149E9" w:rsidRPr="00E82CF7">
        <w:rPr>
          <w:rFonts w:ascii="Arial" w:hAnsi="Arial" w:cs="Arial"/>
          <w:sz w:val="20"/>
          <w:szCs w:val="20"/>
          <w:u w:val="single"/>
          <w:lang w:val="fr-CA"/>
        </w:rPr>
        <w:t>____</w:t>
      </w:r>
      <w:r w:rsidRPr="00E82CF7">
        <w:rPr>
          <w:rFonts w:ascii="Arial" w:hAnsi="Arial" w:cs="Arial"/>
          <w:sz w:val="20"/>
          <w:szCs w:val="20"/>
          <w:lang w:val="fr-CA"/>
        </w:rPr>
        <w:t>relativement au bien</w:t>
      </w:r>
      <w:r w:rsidR="002149E9" w:rsidRPr="00E82CF7">
        <w:rPr>
          <w:rFonts w:ascii="Arial" w:hAnsi="Arial" w:cs="Arial"/>
          <w:sz w:val="20"/>
          <w:szCs w:val="20"/>
          <w:lang w:val="fr-CA"/>
        </w:rPr>
        <w:t xml:space="preserve"> et aux documents connexes enregistrés sous le numéro </w:t>
      </w:r>
      <w:r w:rsidR="002149E9" w:rsidRPr="00E82CF7">
        <w:rPr>
          <w:rFonts w:ascii="Arial" w:hAnsi="Arial" w:cs="Arial"/>
          <w:sz w:val="20"/>
          <w:szCs w:val="20"/>
          <w:u w:val="single"/>
          <w:lang w:val="fr-CA"/>
        </w:rPr>
        <w:t>_____</w:t>
      </w:r>
      <w:proofErr w:type="gramStart"/>
      <w:r w:rsidR="002149E9" w:rsidRPr="00E82CF7">
        <w:rPr>
          <w:rFonts w:ascii="Arial" w:hAnsi="Arial" w:cs="Arial"/>
          <w:sz w:val="20"/>
          <w:szCs w:val="20"/>
          <w:u w:val="single"/>
          <w:lang w:val="fr-CA"/>
        </w:rPr>
        <w:t xml:space="preserve">_  </w:t>
      </w:r>
      <w:r w:rsidR="002149E9" w:rsidRPr="00E82CF7">
        <w:rPr>
          <w:rFonts w:ascii="Arial" w:hAnsi="Arial" w:cs="Arial"/>
          <w:sz w:val="20"/>
          <w:szCs w:val="20"/>
          <w:lang w:val="fr-CA"/>
        </w:rPr>
        <w:t>(</w:t>
      </w:r>
      <w:proofErr w:type="gramEnd"/>
      <w:r w:rsidR="00D9097D" w:rsidRPr="00E82CF7">
        <w:rPr>
          <w:rFonts w:ascii="Arial" w:hAnsi="Arial" w:cs="Arial"/>
          <w:sz w:val="20"/>
          <w:szCs w:val="20"/>
          <w:lang w:val="fr-CA"/>
        </w:rPr>
        <w:t>cessions</w:t>
      </w:r>
      <w:r w:rsidR="002149E9" w:rsidRPr="00E82CF7">
        <w:rPr>
          <w:rFonts w:ascii="Arial" w:hAnsi="Arial" w:cs="Arial"/>
          <w:sz w:val="20"/>
          <w:szCs w:val="20"/>
          <w:lang w:val="fr-CA"/>
        </w:rPr>
        <w:t>, reports, etc.)</w:t>
      </w:r>
    </w:p>
    <w:p w14:paraId="053959EB" w14:textId="043B3403" w:rsidR="00031198" w:rsidRPr="00E82CF7" w:rsidRDefault="00031198" w:rsidP="00031198">
      <w:pPr>
        <w:rPr>
          <w:rFonts w:ascii="Arial" w:hAnsi="Arial" w:cs="Arial"/>
          <w:sz w:val="20"/>
          <w:szCs w:val="20"/>
          <w:lang w:val="fr-CA"/>
        </w:rPr>
      </w:pPr>
    </w:p>
    <w:p w14:paraId="36EE8887" w14:textId="29B5DEBB" w:rsidR="00031198" w:rsidRPr="00E82CF7" w:rsidRDefault="0049614B" w:rsidP="00031198">
      <w:pPr>
        <w:rPr>
          <w:rFonts w:ascii="Arial" w:hAnsi="Arial" w:cs="Arial"/>
          <w:sz w:val="20"/>
          <w:szCs w:val="20"/>
          <w:lang w:val="fr-CA"/>
        </w:rPr>
      </w:pPr>
      <w:r w:rsidRPr="00E82CF7">
        <w:rPr>
          <w:rFonts w:ascii="Arial" w:hAnsi="Arial" w:cs="Arial"/>
          <w:sz w:val="20"/>
          <w:szCs w:val="20"/>
          <w:lang w:val="fr-CA"/>
        </w:rPr>
        <w:t xml:space="preserve">MOYENNANT </w:t>
      </w:r>
      <w:r w:rsidR="004018E9" w:rsidRPr="00E82CF7">
        <w:rPr>
          <w:rFonts w:ascii="Arial" w:hAnsi="Arial" w:cs="Arial"/>
          <w:sz w:val="20"/>
          <w:szCs w:val="20"/>
          <w:lang w:val="fr-CA"/>
        </w:rPr>
        <w:t xml:space="preserve">UNE </w:t>
      </w:r>
      <w:r w:rsidRPr="00E82CF7">
        <w:rPr>
          <w:rFonts w:ascii="Arial" w:hAnsi="Arial" w:cs="Arial"/>
          <w:sz w:val="20"/>
          <w:szCs w:val="20"/>
          <w:lang w:val="fr-CA"/>
        </w:rPr>
        <w:t xml:space="preserve">CONTREPARTIE DE VALEUR (dont la réception et la suffisance sont, par la présente, expressément reconnues), les parties </w:t>
      </w:r>
      <w:r w:rsidR="004018E9" w:rsidRPr="00E82CF7">
        <w:rPr>
          <w:rFonts w:ascii="Arial" w:hAnsi="Arial" w:cs="Arial"/>
          <w:sz w:val="20"/>
          <w:szCs w:val="20"/>
          <w:lang w:val="fr-CA"/>
        </w:rPr>
        <w:t>conviennent de ce qui</w:t>
      </w:r>
      <w:r w:rsidRPr="00E82CF7">
        <w:rPr>
          <w:rFonts w:ascii="Arial" w:hAnsi="Arial" w:cs="Arial"/>
          <w:sz w:val="20"/>
          <w:szCs w:val="20"/>
          <w:lang w:val="fr-CA"/>
        </w:rPr>
        <w:t xml:space="preserve"> suit </w:t>
      </w:r>
      <w:r w:rsidR="00031198" w:rsidRPr="00E82CF7">
        <w:rPr>
          <w:rFonts w:ascii="Arial" w:hAnsi="Arial" w:cs="Arial"/>
          <w:sz w:val="20"/>
          <w:szCs w:val="20"/>
          <w:lang w:val="fr-CA"/>
        </w:rPr>
        <w:t>:</w:t>
      </w:r>
    </w:p>
    <w:p w14:paraId="1D995C24" w14:textId="38C7C43D" w:rsidR="00C578F2" w:rsidRPr="00E82CF7" w:rsidRDefault="00C578F2">
      <w:pPr>
        <w:rPr>
          <w:rFonts w:ascii="Arial" w:hAnsi="Arial" w:cs="Arial"/>
          <w:sz w:val="20"/>
          <w:szCs w:val="20"/>
          <w:lang w:val="fr-CA"/>
        </w:rPr>
      </w:pPr>
    </w:p>
    <w:tbl>
      <w:tblPr>
        <w:tblW w:w="9351" w:type="dxa"/>
        <w:tblLook w:val="04A0" w:firstRow="1" w:lastRow="0" w:firstColumn="1" w:lastColumn="0" w:noHBand="0" w:noVBand="1"/>
      </w:tblPr>
      <w:tblGrid>
        <w:gridCol w:w="1706"/>
        <w:gridCol w:w="7645"/>
      </w:tblGrid>
      <w:tr w:rsidR="0049614B" w:rsidRPr="00E82CF7" w14:paraId="0D1D1484" w14:textId="77777777" w:rsidTr="000C219F">
        <w:tc>
          <w:tcPr>
            <w:tcW w:w="1696" w:type="dxa"/>
          </w:tcPr>
          <w:p w14:paraId="45035CE9" w14:textId="2BA301E6" w:rsidR="0049614B" w:rsidRPr="00E82CF7" w:rsidRDefault="0049614B" w:rsidP="0049614B">
            <w:pPr>
              <w:rPr>
                <w:rFonts w:ascii="Arial" w:hAnsi="Arial" w:cs="Arial"/>
                <w:sz w:val="20"/>
                <w:szCs w:val="20"/>
                <w:lang w:val="fr-CA"/>
              </w:rPr>
            </w:pPr>
            <w:r w:rsidRPr="00E82CF7">
              <w:rPr>
                <w:rFonts w:ascii="Arial" w:hAnsi="Arial" w:cs="Arial"/>
                <w:spacing w:val="-1"/>
                <w:sz w:val="20"/>
                <w:szCs w:val="20"/>
                <w:lang w:val="fr-CA"/>
              </w:rPr>
              <w:t>Entiercement</w:t>
            </w:r>
            <w:r w:rsidRPr="00E82CF7">
              <w:rPr>
                <w:rFonts w:ascii="Arial" w:hAnsi="Arial" w:cs="Arial"/>
                <w:spacing w:val="-5"/>
                <w:sz w:val="20"/>
                <w:szCs w:val="20"/>
                <w:lang w:val="fr-CA"/>
              </w:rPr>
              <w:t xml:space="preserve"> </w:t>
            </w:r>
            <w:r w:rsidRPr="00E82CF7">
              <w:rPr>
                <w:rFonts w:ascii="Arial" w:hAnsi="Arial" w:cs="Arial"/>
                <w:spacing w:val="-2"/>
                <w:sz w:val="20"/>
                <w:szCs w:val="20"/>
                <w:lang w:val="fr-CA"/>
              </w:rPr>
              <w:t>des</w:t>
            </w:r>
            <w:r w:rsidRPr="00E82CF7">
              <w:rPr>
                <w:rFonts w:ascii="Arial" w:hAnsi="Arial" w:cs="Arial"/>
                <w:spacing w:val="-4"/>
                <w:sz w:val="20"/>
                <w:szCs w:val="20"/>
                <w:lang w:val="fr-CA"/>
              </w:rPr>
              <w:t xml:space="preserve"> </w:t>
            </w:r>
            <w:r w:rsidRPr="00E82CF7">
              <w:rPr>
                <w:rFonts w:ascii="Arial" w:hAnsi="Arial" w:cs="Arial"/>
                <w:spacing w:val="-1"/>
                <w:sz w:val="20"/>
                <w:szCs w:val="20"/>
                <w:lang w:val="fr-CA"/>
              </w:rPr>
              <w:t>effets</w:t>
            </w:r>
          </w:p>
        </w:tc>
        <w:tc>
          <w:tcPr>
            <w:tcW w:w="7655" w:type="dxa"/>
          </w:tcPr>
          <w:p w14:paraId="25407490" w14:textId="244687F2" w:rsidR="0049614B" w:rsidRPr="00E82CF7" w:rsidRDefault="002149E9" w:rsidP="0049614B">
            <w:pPr>
              <w:pStyle w:val="ListParagraph"/>
              <w:numPr>
                <w:ilvl w:val="0"/>
                <w:numId w:val="6"/>
              </w:numPr>
              <w:tabs>
                <w:tab w:val="left" w:pos="402"/>
              </w:tabs>
              <w:rPr>
                <w:rFonts w:ascii="Arial" w:hAnsi="Arial" w:cs="Arial"/>
                <w:sz w:val="20"/>
                <w:szCs w:val="20"/>
                <w:lang w:val="fr-CA"/>
              </w:rPr>
            </w:pPr>
            <w:r w:rsidRPr="00E82CF7">
              <w:rPr>
                <w:rFonts w:ascii="Arial" w:hAnsi="Arial" w:cs="Arial"/>
                <w:sz w:val="20"/>
                <w:szCs w:val="20"/>
                <w:lang w:val="fr-CA"/>
              </w:rPr>
              <w:t xml:space="preserve">Chacun des </w:t>
            </w:r>
            <w:r w:rsidR="008E6358" w:rsidRPr="00E82CF7">
              <w:rPr>
                <w:rFonts w:ascii="Arial" w:hAnsi="Arial" w:cs="Arial"/>
                <w:sz w:val="20"/>
                <w:szCs w:val="20"/>
                <w:lang w:val="fr-CA"/>
              </w:rPr>
              <w:t>avocat</w:t>
            </w:r>
            <w:r w:rsidRPr="00E82CF7">
              <w:rPr>
                <w:rFonts w:ascii="Arial" w:hAnsi="Arial" w:cs="Arial"/>
                <w:sz w:val="20"/>
                <w:szCs w:val="20"/>
                <w:lang w:val="fr-CA"/>
              </w:rPr>
              <w:t>s soussignés</w:t>
            </w:r>
            <w:r w:rsidR="008E6358" w:rsidRPr="00E82CF7">
              <w:rPr>
                <w:rFonts w:ascii="Arial" w:hAnsi="Arial" w:cs="Arial"/>
                <w:sz w:val="20"/>
                <w:szCs w:val="20"/>
                <w:lang w:val="fr-CA"/>
              </w:rPr>
              <w:t xml:space="preserve"> entierce toutes les sommes, clés et tous les documents de </w:t>
            </w:r>
            <w:r w:rsidR="00EB19A9" w:rsidRPr="00E82CF7">
              <w:rPr>
                <w:rFonts w:ascii="Arial" w:eastAsia="Calibri" w:hAnsi="Arial" w:cs="Arial"/>
                <w:spacing w:val="-1"/>
                <w:sz w:val="20"/>
                <w:szCs w:val="20"/>
                <w:lang w:val="fr-CA" w:eastAsia="en-US"/>
              </w:rPr>
              <w:t xml:space="preserve">clôture </w:t>
            </w:r>
            <w:r w:rsidR="008E6358" w:rsidRPr="00E82CF7">
              <w:rPr>
                <w:rFonts w:ascii="Arial" w:hAnsi="Arial" w:cs="Arial"/>
                <w:sz w:val="20"/>
                <w:szCs w:val="20"/>
                <w:lang w:val="fr-CA"/>
              </w:rPr>
              <w:t xml:space="preserve">qu’ils s’échangent (les « effets requis ») et ne doit les traiter, notamment les libérer, que conformément à la présente convention. Ils ont tous été autorisés par leurs clients respectifs à conclure la présente convention. Une fois que les effets requis peuvent être libérés conformément à la présente convention, tout paiement intégral d’hypothèques est acheminé promptement au prêteur hypothécaire </w:t>
            </w:r>
            <w:r w:rsidR="001721A1" w:rsidRPr="00E82CF7">
              <w:rPr>
                <w:rFonts w:ascii="Arial" w:hAnsi="Arial" w:cs="Arial"/>
                <w:sz w:val="20"/>
                <w:szCs w:val="20"/>
                <w:lang w:val="fr-CA"/>
              </w:rPr>
              <w:t>concerné</w:t>
            </w:r>
            <w:r w:rsidR="0049614B" w:rsidRPr="00E82CF7">
              <w:rPr>
                <w:rFonts w:ascii="Arial" w:hAnsi="Arial" w:cs="Arial"/>
                <w:sz w:val="20"/>
                <w:szCs w:val="20"/>
                <w:lang w:val="fr-CA"/>
              </w:rPr>
              <w:t>.</w:t>
            </w:r>
          </w:p>
          <w:p w14:paraId="0CA766BD" w14:textId="0F540495" w:rsidR="0049614B" w:rsidRPr="00E82CF7" w:rsidRDefault="0049614B" w:rsidP="0049614B">
            <w:pPr>
              <w:pStyle w:val="ListParagraph"/>
              <w:tabs>
                <w:tab w:val="left" w:pos="402"/>
              </w:tabs>
              <w:ind w:left="360"/>
              <w:rPr>
                <w:rFonts w:ascii="Arial" w:hAnsi="Arial" w:cs="Arial"/>
                <w:sz w:val="20"/>
                <w:szCs w:val="20"/>
                <w:lang w:val="fr-CA"/>
              </w:rPr>
            </w:pPr>
          </w:p>
        </w:tc>
      </w:tr>
      <w:tr w:rsidR="0049614B" w:rsidRPr="00E82CF7" w14:paraId="43E39A54" w14:textId="77777777" w:rsidTr="000C219F">
        <w:tc>
          <w:tcPr>
            <w:tcW w:w="1696" w:type="dxa"/>
          </w:tcPr>
          <w:p w14:paraId="760444CE" w14:textId="02F48267" w:rsidR="0049614B" w:rsidRPr="00E82CF7" w:rsidRDefault="008E6358" w:rsidP="0049614B">
            <w:pPr>
              <w:rPr>
                <w:rFonts w:ascii="Arial" w:hAnsi="Arial" w:cs="Arial"/>
                <w:sz w:val="20"/>
                <w:szCs w:val="20"/>
                <w:lang w:val="fr-CA"/>
              </w:rPr>
            </w:pPr>
            <w:r w:rsidRPr="00E82CF7">
              <w:rPr>
                <w:rFonts w:ascii="Arial" w:hAnsi="Arial" w:cs="Arial"/>
                <w:sz w:val="20"/>
                <w:szCs w:val="20"/>
                <w:lang w:val="fr-CA"/>
              </w:rPr>
              <w:t xml:space="preserve">Communication des réserves </w:t>
            </w:r>
            <w:r w:rsidRPr="00E82CF7">
              <w:rPr>
                <w:rFonts w:ascii="Arial" w:hAnsi="Arial" w:cs="Arial"/>
                <w:sz w:val="20"/>
                <w:szCs w:val="20"/>
                <w:lang w:val="fr-CA"/>
              </w:rPr>
              <w:lastRenderedPageBreak/>
              <w:t>concernant les effets</w:t>
            </w:r>
          </w:p>
        </w:tc>
        <w:tc>
          <w:tcPr>
            <w:tcW w:w="7655" w:type="dxa"/>
          </w:tcPr>
          <w:p w14:paraId="07300932" w14:textId="59A1D34E" w:rsidR="0049614B" w:rsidRPr="00E82CF7" w:rsidRDefault="001721A1" w:rsidP="0049614B">
            <w:pPr>
              <w:pStyle w:val="ListParagraph"/>
              <w:numPr>
                <w:ilvl w:val="0"/>
                <w:numId w:val="6"/>
              </w:numPr>
              <w:tabs>
                <w:tab w:val="left" w:pos="402"/>
              </w:tabs>
              <w:rPr>
                <w:rFonts w:ascii="Arial" w:hAnsi="Arial" w:cs="Arial"/>
                <w:sz w:val="20"/>
                <w:szCs w:val="20"/>
                <w:lang w:val="fr-CA"/>
              </w:rPr>
            </w:pPr>
            <w:r w:rsidRPr="00E82CF7">
              <w:rPr>
                <w:rFonts w:ascii="Arial" w:hAnsi="Arial" w:cs="Arial"/>
                <w:sz w:val="20"/>
                <w:szCs w:val="20"/>
                <w:lang w:val="fr-CA"/>
              </w:rPr>
              <w:lastRenderedPageBreak/>
              <w:t>Dès</w:t>
            </w:r>
            <w:r w:rsidR="008E6358" w:rsidRPr="00E82CF7">
              <w:rPr>
                <w:rFonts w:ascii="Arial" w:hAnsi="Arial" w:cs="Arial"/>
                <w:sz w:val="20"/>
                <w:szCs w:val="20"/>
                <w:lang w:val="fr-CA"/>
              </w:rPr>
              <w:t xml:space="preserve"> qu’il lui est raisonnablement possible de le faire après avoir reçu les effets requis (</w:t>
            </w:r>
            <w:r w:rsidRPr="00E82CF7">
              <w:rPr>
                <w:rFonts w:ascii="Arial" w:hAnsi="Arial" w:cs="Arial"/>
                <w:sz w:val="20"/>
                <w:szCs w:val="20"/>
                <w:lang w:val="fr-CA"/>
              </w:rPr>
              <w:t>le cas échéant</w:t>
            </w:r>
            <w:r w:rsidR="008E6358" w:rsidRPr="00E82CF7">
              <w:rPr>
                <w:rFonts w:ascii="Arial" w:hAnsi="Arial" w:cs="Arial"/>
                <w:sz w:val="20"/>
                <w:szCs w:val="20"/>
                <w:lang w:val="fr-CA"/>
              </w:rPr>
              <w:t>), chaque partie informe l’autre du ou des vices qu’ils présentent</w:t>
            </w:r>
            <w:r w:rsidR="0049614B" w:rsidRPr="00E82CF7">
              <w:rPr>
                <w:rFonts w:ascii="Arial" w:hAnsi="Arial" w:cs="Arial"/>
                <w:sz w:val="20"/>
                <w:szCs w:val="20"/>
                <w:lang w:val="fr-CA"/>
              </w:rPr>
              <w:t>.</w:t>
            </w:r>
          </w:p>
          <w:p w14:paraId="58DD7BCF" w14:textId="77777777" w:rsidR="0049614B" w:rsidRPr="00E82CF7" w:rsidRDefault="0049614B" w:rsidP="0049614B">
            <w:pPr>
              <w:rPr>
                <w:rFonts w:ascii="Arial" w:hAnsi="Arial" w:cs="Arial"/>
                <w:sz w:val="20"/>
                <w:szCs w:val="20"/>
                <w:lang w:val="fr-CA"/>
              </w:rPr>
            </w:pPr>
          </w:p>
        </w:tc>
      </w:tr>
      <w:tr w:rsidR="0049614B" w:rsidRPr="00E82CF7" w14:paraId="2F0C1EE2" w14:textId="77777777" w:rsidTr="000C219F">
        <w:tc>
          <w:tcPr>
            <w:tcW w:w="1696" w:type="dxa"/>
          </w:tcPr>
          <w:p w14:paraId="0DA45219" w14:textId="4CFB1DA9" w:rsidR="0049614B" w:rsidRPr="00E82CF7" w:rsidRDefault="008E6358" w:rsidP="0049614B">
            <w:pPr>
              <w:rPr>
                <w:rFonts w:ascii="Arial" w:hAnsi="Arial" w:cs="Arial"/>
                <w:sz w:val="20"/>
                <w:szCs w:val="20"/>
                <w:lang w:val="fr-CA"/>
              </w:rPr>
            </w:pPr>
            <w:r w:rsidRPr="00E82CF7">
              <w:rPr>
                <w:rFonts w:ascii="Arial" w:hAnsi="Arial" w:cs="Arial"/>
                <w:sz w:val="20"/>
                <w:szCs w:val="20"/>
                <w:lang w:val="fr-CA"/>
              </w:rPr>
              <w:lastRenderedPageBreak/>
              <w:t>Choix de l’avocat chargé de l’enregistrement</w:t>
            </w:r>
          </w:p>
          <w:p w14:paraId="73EE4ACB" w14:textId="77777777" w:rsidR="0049614B" w:rsidRPr="00E82CF7" w:rsidRDefault="0049614B" w:rsidP="0049614B">
            <w:pPr>
              <w:rPr>
                <w:rFonts w:ascii="Arial" w:hAnsi="Arial" w:cs="Arial"/>
                <w:sz w:val="20"/>
                <w:szCs w:val="20"/>
                <w:lang w:val="fr-CA"/>
              </w:rPr>
            </w:pPr>
          </w:p>
        </w:tc>
        <w:tc>
          <w:tcPr>
            <w:tcW w:w="7655" w:type="dxa"/>
          </w:tcPr>
          <w:p w14:paraId="17B8330D" w14:textId="303443C2" w:rsidR="0049614B" w:rsidRPr="00E82CF7" w:rsidRDefault="008E6358" w:rsidP="008E6358">
            <w:pPr>
              <w:pStyle w:val="ListParagraph"/>
              <w:numPr>
                <w:ilvl w:val="0"/>
                <w:numId w:val="6"/>
              </w:numPr>
              <w:tabs>
                <w:tab w:val="left" w:pos="392"/>
              </w:tabs>
              <w:rPr>
                <w:rFonts w:ascii="Arial" w:hAnsi="Arial" w:cs="Arial"/>
                <w:sz w:val="20"/>
                <w:szCs w:val="20"/>
                <w:lang w:val="fr-CA"/>
              </w:rPr>
            </w:pPr>
            <w:r w:rsidRPr="00E82CF7">
              <w:rPr>
                <w:rFonts w:ascii="Arial" w:hAnsi="Arial" w:cs="Arial"/>
                <w:sz w:val="20"/>
                <w:szCs w:val="20"/>
                <w:lang w:val="fr-CA"/>
              </w:rPr>
              <w:t>L’avocat de l’acheteur est chargé de l’enregistrement des documents électroniques au sens</w:t>
            </w:r>
            <w:r w:rsidR="00206420" w:rsidRPr="00E82CF7">
              <w:rPr>
                <w:rFonts w:ascii="Arial" w:hAnsi="Arial" w:cs="Arial"/>
                <w:sz w:val="20"/>
                <w:szCs w:val="20"/>
                <w:lang w:val="fr-CA"/>
              </w:rPr>
              <w:t xml:space="preserve"> attribué à cette expression</w:t>
            </w:r>
            <w:r w:rsidRPr="00E82CF7">
              <w:rPr>
                <w:rFonts w:ascii="Arial" w:hAnsi="Arial" w:cs="Arial"/>
                <w:sz w:val="20"/>
                <w:szCs w:val="20"/>
                <w:lang w:val="fr-CA"/>
              </w:rPr>
              <w:t xml:space="preserve"> d</w:t>
            </w:r>
            <w:r w:rsidR="00206420" w:rsidRPr="00E82CF7">
              <w:rPr>
                <w:rFonts w:ascii="Arial" w:hAnsi="Arial" w:cs="Arial"/>
                <w:sz w:val="20"/>
                <w:szCs w:val="20"/>
                <w:lang w:val="fr-CA"/>
              </w:rPr>
              <w:t>ans</w:t>
            </w:r>
            <w:r w:rsidRPr="00E82CF7">
              <w:rPr>
                <w:rFonts w:ascii="Arial" w:hAnsi="Arial" w:cs="Arial"/>
                <w:sz w:val="20"/>
                <w:szCs w:val="20"/>
                <w:lang w:val="fr-CA"/>
              </w:rPr>
              <w:t xml:space="preserve"> l’annexe A (les «</w:t>
            </w:r>
            <w:r w:rsidR="00EB7C2A" w:rsidRPr="00E82CF7">
              <w:rPr>
                <w:rFonts w:ascii="Arial" w:hAnsi="Arial" w:cs="Arial"/>
                <w:sz w:val="20"/>
                <w:szCs w:val="20"/>
                <w:lang w:val="fr-CA"/>
              </w:rPr>
              <w:t> </w:t>
            </w:r>
            <w:r w:rsidRPr="00E82CF7">
              <w:rPr>
                <w:rFonts w:ascii="Arial" w:hAnsi="Arial" w:cs="Arial"/>
                <w:sz w:val="20"/>
                <w:szCs w:val="20"/>
                <w:lang w:val="fr-CA"/>
              </w:rPr>
              <w:t>documents électroniques</w:t>
            </w:r>
            <w:r w:rsidR="00EB7C2A" w:rsidRPr="00E82CF7">
              <w:rPr>
                <w:rFonts w:ascii="Arial" w:hAnsi="Arial" w:cs="Arial"/>
                <w:sz w:val="20"/>
                <w:szCs w:val="20"/>
                <w:lang w:val="fr-CA"/>
              </w:rPr>
              <w:t> </w:t>
            </w:r>
            <w:r w:rsidRPr="00E82CF7">
              <w:rPr>
                <w:rFonts w:ascii="Arial" w:hAnsi="Arial" w:cs="Arial"/>
                <w:sz w:val="20"/>
                <w:szCs w:val="20"/>
                <w:lang w:val="fr-CA"/>
              </w:rPr>
              <w:t>»), à moins que ne soit cochée la case qui suit, indiquant qu’un autre avocat sera chargé de l’enregistrement d’au moins un des documents électroniques. Pour l’application de la présente convention, l’avocat chargé de l’enregistrement d</w:t>
            </w:r>
            <w:r w:rsidR="002149E9" w:rsidRPr="00E82CF7">
              <w:rPr>
                <w:rFonts w:ascii="Arial" w:hAnsi="Arial" w:cs="Arial"/>
                <w:sz w:val="20"/>
                <w:szCs w:val="20"/>
                <w:lang w:val="fr-CA"/>
              </w:rPr>
              <w:t xml:space="preserve">’un </w:t>
            </w:r>
            <w:r w:rsidRPr="00E82CF7">
              <w:rPr>
                <w:rFonts w:ascii="Arial" w:hAnsi="Arial" w:cs="Arial"/>
                <w:sz w:val="20"/>
                <w:szCs w:val="20"/>
                <w:lang w:val="fr-CA"/>
              </w:rPr>
              <w:t>document est l</w:t>
            </w:r>
            <w:proofErr w:type="gramStart"/>
            <w:r w:rsidRPr="00E82CF7">
              <w:rPr>
                <w:rFonts w:ascii="Arial" w:hAnsi="Arial" w:cs="Arial"/>
                <w:sz w:val="20"/>
                <w:szCs w:val="20"/>
                <w:lang w:val="fr-CA"/>
              </w:rPr>
              <w:t>’«</w:t>
            </w:r>
            <w:proofErr w:type="gramEnd"/>
            <w:r w:rsidR="00EB7C2A" w:rsidRPr="00E82CF7">
              <w:rPr>
                <w:rFonts w:ascii="Arial" w:hAnsi="Arial" w:cs="Arial"/>
                <w:sz w:val="20"/>
                <w:szCs w:val="20"/>
                <w:lang w:val="fr-CA"/>
              </w:rPr>
              <w:t> </w:t>
            </w:r>
            <w:r w:rsidRPr="00E82CF7">
              <w:rPr>
                <w:rFonts w:ascii="Arial" w:hAnsi="Arial" w:cs="Arial"/>
                <w:sz w:val="20"/>
                <w:szCs w:val="20"/>
                <w:lang w:val="fr-CA"/>
              </w:rPr>
              <w:t>avocat enregistreur</w:t>
            </w:r>
            <w:r w:rsidR="00EB7C2A" w:rsidRPr="00E82CF7">
              <w:rPr>
                <w:rFonts w:ascii="Arial" w:hAnsi="Arial" w:cs="Arial"/>
                <w:sz w:val="20"/>
                <w:szCs w:val="20"/>
                <w:lang w:val="fr-CA"/>
              </w:rPr>
              <w:t> </w:t>
            </w:r>
            <w:r w:rsidRPr="00E82CF7">
              <w:rPr>
                <w:rFonts w:ascii="Arial" w:hAnsi="Arial" w:cs="Arial"/>
                <w:sz w:val="20"/>
                <w:szCs w:val="20"/>
                <w:lang w:val="fr-CA"/>
              </w:rPr>
              <w:t>» et les autres sont les «</w:t>
            </w:r>
            <w:r w:rsidR="00EB7C2A" w:rsidRPr="00E82CF7">
              <w:rPr>
                <w:rFonts w:ascii="Arial" w:hAnsi="Arial" w:cs="Arial"/>
                <w:sz w:val="20"/>
                <w:szCs w:val="20"/>
                <w:lang w:val="fr-CA"/>
              </w:rPr>
              <w:t> </w:t>
            </w:r>
            <w:r w:rsidRPr="00E82CF7">
              <w:rPr>
                <w:rFonts w:ascii="Arial" w:hAnsi="Arial" w:cs="Arial"/>
                <w:sz w:val="20"/>
                <w:szCs w:val="20"/>
                <w:lang w:val="fr-CA"/>
              </w:rPr>
              <w:t>avocats non enregistreurs</w:t>
            </w:r>
            <w:r w:rsidR="00EB7C2A" w:rsidRPr="00E82CF7">
              <w:rPr>
                <w:rFonts w:ascii="Arial" w:hAnsi="Arial" w:cs="Arial"/>
                <w:sz w:val="20"/>
                <w:szCs w:val="20"/>
                <w:lang w:val="fr-CA"/>
              </w:rPr>
              <w:t> </w:t>
            </w:r>
            <w:r w:rsidRPr="00E82CF7">
              <w:rPr>
                <w:rFonts w:ascii="Arial" w:hAnsi="Arial" w:cs="Arial"/>
                <w:sz w:val="20"/>
                <w:szCs w:val="20"/>
                <w:lang w:val="fr-CA"/>
              </w:rPr>
              <w:t>»</w:t>
            </w:r>
            <w:r w:rsidR="0049614B" w:rsidRPr="00E82CF7">
              <w:rPr>
                <w:rFonts w:ascii="Arial" w:hAnsi="Arial" w:cs="Arial"/>
                <w:sz w:val="20"/>
                <w:szCs w:val="20"/>
                <w:lang w:val="fr-CA"/>
              </w:rPr>
              <w:t>.</w:t>
            </w:r>
          </w:p>
          <w:p w14:paraId="108B4361" w14:textId="77777777" w:rsidR="0049614B" w:rsidRPr="00E82CF7" w:rsidRDefault="0049614B" w:rsidP="0049614B">
            <w:pPr>
              <w:tabs>
                <w:tab w:val="left" w:pos="392"/>
              </w:tabs>
              <w:ind w:left="402" w:hanging="360"/>
              <w:rPr>
                <w:rFonts w:ascii="Arial" w:hAnsi="Arial" w:cs="Arial"/>
                <w:sz w:val="20"/>
                <w:szCs w:val="20"/>
                <w:lang w:val="fr-CA"/>
              </w:rPr>
            </w:pPr>
          </w:p>
          <w:p w14:paraId="4CF1208D" w14:textId="7C4B2503" w:rsidR="0049614B" w:rsidRPr="00E82CF7" w:rsidRDefault="008E6358" w:rsidP="0049614B">
            <w:pPr>
              <w:ind w:left="432"/>
              <w:rPr>
                <w:rFonts w:ascii="Arial" w:hAnsi="Arial" w:cs="Arial"/>
                <w:sz w:val="20"/>
                <w:szCs w:val="20"/>
                <w:lang w:val="fr-CA"/>
              </w:rPr>
            </w:pPr>
            <w:r w:rsidRPr="00E82CF7">
              <w:rPr>
                <w:rFonts w:ascii="Arial" w:hAnsi="Arial" w:cs="Arial"/>
                <w:sz w:val="20"/>
                <w:szCs w:val="20"/>
                <w:lang w:val="fr-CA"/>
              </w:rPr>
              <w:t>L’avocat du vendeur</w:t>
            </w:r>
            <w:r w:rsidR="002149E9" w:rsidRPr="00E82CF7">
              <w:rPr>
                <w:rFonts w:ascii="Arial" w:hAnsi="Arial" w:cs="Arial"/>
                <w:sz w:val="20"/>
                <w:szCs w:val="20"/>
                <w:lang w:val="fr-CA"/>
              </w:rPr>
              <w:t xml:space="preserve"> est responsable des enregistrements suivants </w:t>
            </w:r>
            <w:r w:rsidR="0049614B" w:rsidRPr="00E82CF7">
              <w:rPr>
                <w:rFonts w:ascii="Arial" w:hAnsi="Arial" w:cs="Arial"/>
                <w:sz w:val="20"/>
                <w:szCs w:val="20"/>
                <w:lang w:val="fr-CA"/>
              </w:rPr>
              <w:t xml:space="preserve">: </w:t>
            </w:r>
          </w:p>
          <w:p w14:paraId="23A343AE" w14:textId="77777777" w:rsidR="0049614B" w:rsidRPr="00E82CF7" w:rsidRDefault="0049614B" w:rsidP="0049614B">
            <w:pPr>
              <w:ind w:left="432"/>
              <w:rPr>
                <w:rFonts w:ascii="Arial" w:hAnsi="Arial" w:cs="Arial"/>
                <w:sz w:val="20"/>
                <w:szCs w:val="20"/>
                <w:lang w:val="fr-CA"/>
              </w:rPr>
            </w:pPr>
          </w:p>
          <w:p w14:paraId="597AB19D" w14:textId="77777777" w:rsidR="0049614B" w:rsidRPr="00E82CF7" w:rsidRDefault="0049614B" w:rsidP="0049614B">
            <w:pPr>
              <w:pStyle w:val="ListParagraph"/>
              <w:numPr>
                <w:ilvl w:val="0"/>
                <w:numId w:val="8"/>
              </w:numPr>
              <w:rPr>
                <w:rFonts w:ascii="Arial" w:hAnsi="Arial" w:cs="Arial"/>
                <w:sz w:val="20"/>
                <w:szCs w:val="20"/>
                <w:lang w:val="fr-CA"/>
              </w:rPr>
            </w:pPr>
            <w:r w:rsidRPr="00E82CF7">
              <w:rPr>
                <w:rFonts w:ascii="Arial" w:hAnsi="Arial" w:cs="Arial"/>
                <w:sz w:val="20"/>
                <w:szCs w:val="20"/>
                <w:lang w:val="fr-CA"/>
              </w:rPr>
              <w:t>____________________________</w:t>
            </w:r>
          </w:p>
          <w:p w14:paraId="52FCBF8E" w14:textId="77777777" w:rsidR="0049614B" w:rsidRPr="00E82CF7" w:rsidRDefault="0049614B" w:rsidP="0049614B">
            <w:pPr>
              <w:pStyle w:val="ListParagraph"/>
              <w:numPr>
                <w:ilvl w:val="0"/>
                <w:numId w:val="8"/>
              </w:numPr>
              <w:rPr>
                <w:rFonts w:ascii="Arial" w:hAnsi="Arial" w:cs="Arial"/>
                <w:sz w:val="20"/>
                <w:szCs w:val="20"/>
                <w:lang w:val="fr-CA"/>
              </w:rPr>
            </w:pPr>
            <w:r w:rsidRPr="00E82CF7">
              <w:rPr>
                <w:rFonts w:ascii="Arial" w:hAnsi="Arial" w:cs="Arial"/>
                <w:sz w:val="20"/>
                <w:szCs w:val="20"/>
                <w:lang w:val="fr-CA"/>
              </w:rPr>
              <w:t>____________________________</w:t>
            </w:r>
          </w:p>
          <w:p w14:paraId="454D9D87" w14:textId="77777777" w:rsidR="0049614B" w:rsidRPr="00E82CF7" w:rsidRDefault="0049614B" w:rsidP="0049614B">
            <w:pPr>
              <w:pStyle w:val="ListParagraph"/>
              <w:numPr>
                <w:ilvl w:val="0"/>
                <w:numId w:val="8"/>
              </w:numPr>
              <w:rPr>
                <w:rFonts w:ascii="Arial" w:hAnsi="Arial" w:cs="Arial"/>
                <w:sz w:val="20"/>
                <w:szCs w:val="20"/>
                <w:lang w:val="fr-CA"/>
              </w:rPr>
            </w:pPr>
            <w:r w:rsidRPr="00E82CF7">
              <w:rPr>
                <w:rFonts w:ascii="Arial" w:hAnsi="Arial" w:cs="Arial"/>
                <w:sz w:val="20"/>
                <w:szCs w:val="20"/>
                <w:lang w:val="fr-CA"/>
              </w:rPr>
              <w:t>____________________________</w:t>
            </w:r>
          </w:p>
          <w:p w14:paraId="4DA10FF2" w14:textId="77777777" w:rsidR="0049614B" w:rsidRPr="00E82CF7" w:rsidRDefault="0049614B" w:rsidP="0049614B">
            <w:pPr>
              <w:ind w:left="432"/>
              <w:rPr>
                <w:rFonts w:ascii="Arial" w:hAnsi="Arial" w:cs="Arial"/>
                <w:sz w:val="20"/>
                <w:szCs w:val="20"/>
                <w:lang w:val="fr-CA"/>
              </w:rPr>
            </w:pPr>
          </w:p>
          <w:p w14:paraId="52D9EDA8" w14:textId="60183CF2" w:rsidR="0049614B" w:rsidRPr="00E82CF7" w:rsidRDefault="008E6358" w:rsidP="0049614B">
            <w:pPr>
              <w:ind w:left="432"/>
              <w:rPr>
                <w:rFonts w:ascii="Arial" w:hAnsi="Arial" w:cs="Arial"/>
                <w:sz w:val="20"/>
                <w:szCs w:val="20"/>
                <w:lang w:val="fr-CA"/>
              </w:rPr>
            </w:pPr>
            <w:r w:rsidRPr="00E82CF7">
              <w:rPr>
                <w:rFonts w:ascii="Arial" w:hAnsi="Arial" w:cs="Arial"/>
                <w:sz w:val="20"/>
                <w:szCs w:val="20"/>
                <w:lang w:val="fr-CA"/>
              </w:rPr>
              <w:t>L’avocat du pr</w:t>
            </w:r>
            <w:r w:rsidR="00AA6032" w:rsidRPr="00E82CF7">
              <w:rPr>
                <w:rFonts w:ascii="Arial" w:hAnsi="Arial" w:cs="Arial"/>
                <w:sz w:val="20"/>
                <w:szCs w:val="20"/>
                <w:lang w:val="fr-CA"/>
              </w:rPr>
              <w:t>êteur</w:t>
            </w:r>
            <w:r w:rsidRPr="00E82CF7">
              <w:rPr>
                <w:rFonts w:ascii="Arial" w:hAnsi="Arial" w:cs="Arial"/>
                <w:sz w:val="20"/>
                <w:szCs w:val="20"/>
                <w:lang w:val="fr-CA"/>
              </w:rPr>
              <w:t xml:space="preserve"> </w:t>
            </w:r>
            <w:r w:rsidR="002149E9" w:rsidRPr="00E82CF7">
              <w:rPr>
                <w:rFonts w:ascii="Arial" w:hAnsi="Arial" w:cs="Arial"/>
                <w:sz w:val="20"/>
                <w:szCs w:val="20"/>
                <w:lang w:val="fr-CA"/>
              </w:rPr>
              <w:t>est responsable des enregistrements suivants </w:t>
            </w:r>
            <w:r w:rsidR="0049614B" w:rsidRPr="00E82CF7">
              <w:rPr>
                <w:rFonts w:ascii="Arial" w:hAnsi="Arial" w:cs="Arial"/>
                <w:sz w:val="20"/>
                <w:szCs w:val="20"/>
                <w:lang w:val="fr-CA"/>
              </w:rPr>
              <w:t xml:space="preserve">: </w:t>
            </w:r>
          </w:p>
          <w:p w14:paraId="3B10F18F" w14:textId="77777777" w:rsidR="0049614B" w:rsidRPr="00E82CF7" w:rsidRDefault="0049614B" w:rsidP="0049614B">
            <w:pPr>
              <w:ind w:left="432"/>
              <w:rPr>
                <w:rFonts w:ascii="Arial" w:hAnsi="Arial" w:cs="Arial"/>
                <w:sz w:val="20"/>
                <w:szCs w:val="20"/>
                <w:lang w:val="fr-CA"/>
              </w:rPr>
            </w:pPr>
          </w:p>
          <w:p w14:paraId="0D7F1B4E" w14:textId="77777777" w:rsidR="0049614B" w:rsidRPr="00E82CF7" w:rsidRDefault="0049614B" w:rsidP="0049614B">
            <w:pPr>
              <w:pStyle w:val="ListParagraph"/>
              <w:numPr>
                <w:ilvl w:val="0"/>
                <w:numId w:val="9"/>
              </w:numPr>
              <w:rPr>
                <w:rFonts w:ascii="Arial" w:hAnsi="Arial" w:cs="Arial"/>
                <w:sz w:val="20"/>
                <w:szCs w:val="20"/>
                <w:lang w:val="fr-CA"/>
              </w:rPr>
            </w:pPr>
            <w:r w:rsidRPr="00E82CF7">
              <w:rPr>
                <w:rFonts w:ascii="Arial" w:hAnsi="Arial" w:cs="Arial"/>
                <w:sz w:val="20"/>
                <w:szCs w:val="20"/>
                <w:lang w:val="fr-CA"/>
              </w:rPr>
              <w:t>____________________________</w:t>
            </w:r>
          </w:p>
          <w:p w14:paraId="60472792" w14:textId="77777777" w:rsidR="0049614B" w:rsidRPr="00E82CF7" w:rsidRDefault="0049614B" w:rsidP="0049614B">
            <w:pPr>
              <w:pStyle w:val="ListParagraph"/>
              <w:numPr>
                <w:ilvl w:val="0"/>
                <w:numId w:val="9"/>
              </w:numPr>
              <w:rPr>
                <w:rFonts w:ascii="Arial" w:hAnsi="Arial" w:cs="Arial"/>
                <w:sz w:val="20"/>
                <w:szCs w:val="20"/>
                <w:lang w:val="fr-CA"/>
              </w:rPr>
            </w:pPr>
            <w:r w:rsidRPr="00E82CF7">
              <w:rPr>
                <w:rFonts w:ascii="Arial" w:hAnsi="Arial" w:cs="Arial"/>
                <w:sz w:val="20"/>
                <w:szCs w:val="20"/>
                <w:lang w:val="fr-CA"/>
              </w:rPr>
              <w:t>____________________________</w:t>
            </w:r>
          </w:p>
          <w:p w14:paraId="24C5FAA3" w14:textId="77777777" w:rsidR="0049614B" w:rsidRPr="00E82CF7" w:rsidRDefault="0049614B" w:rsidP="0049614B">
            <w:pPr>
              <w:pStyle w:val="ListParagraph"/>
              <w:numPr>
                <w:ilvl w:val="0"/>
                <w:numId w:val="9"/>
              </w:numPr>
              <w:rPr>
                <w:rFonts w:ascii="Arial" w:hAnsi="Arial" w:cs="Arial"/>
                <w:sz w:val="20"/>
                <w:szCs w:val="20"/>
                <w:lang w:val="fr-CA"/>
              </w:rPr>
            </w:pPr>
            <w:r w:rsidRPr="00E82CF7">
              <w:rPr>
                <w:rFonts w:ascii="Arial" w:hAnsi="Arial" w:cs="Arial"/>
                <w:sz w:val="20"/>
                <w:szCs w:val="20"/>
                <w:lang w:val="fr-CA"/>
              </w:rPr>
              <w:t>____________________________</w:t>
            </w:r>
          </w:p>
          <w:p w14:paraId="5A2CF696" w14:textId="77777777" w:rsidR="0049614B" w:rsidRPr="00E82CF7" w:rsidRDefault="0049614B" w:rsidP="0049614B">
            <w:pPr>
              <w:pStyle w:val="ListParagraph"/>
              <w:ind w:left="432"/>
              <w:rPr>
                <w:rFonts w:ascii="Arial" w:hAnsi="Arial" w:cs="Arial"/>
                <w:sz w:val="20"/>
                <w:szCs w:val="20"/>
                <w:lang w:val="fr-CA"/>
              </w:rPr>
            </w:pPr>
          </w:p>
          <w:p w14:paraId="3FA84929" w14:textId="75CCED9C" w:rsidR="0049614B" w:rsidRPr="00E82CF7" w:rsidRDefault="008E6358" w:rsidP="0049614B">
            <w:pPr>
              <w:ind w:left="432"/>
              <w:rPr>
                <w:rFonts w:ascii="Arial" w:hAnsi="Arial" w:cs="Arial"/>
                <w:sz w:val="20"/>
                <w:szCs w:val="20"/>
                <w:lang w:val="fr-CA"/>
              </w:rPr>
            </w:pPr>
            <w:r w:rsidRPr="00E82CF7">
              <w:rPr>
                <w:rFonts w:ascii="Arial" w:hAnsi="Arial" w:cs="Arial"/>
                <w:sz w:val="20"/>
                <w:szCs w:val="20"/>
                <w:lang w:val="fr-CA"/>
              </w:rPr>
              <w:t xml:space="preserve">L’avocat de la quatrième partie </w:t>
            </w:r>
            <w:r w:rsidR="002149E9" w:rsidRPr="00E82CF7">
              <w:rPr>
                <w:rFonts w:ascii="Arial" w:hAnsi="Arial" w:cs="Arial"/>
                <w:sz w:val="20"/>
                <w:szCs w:val="20"/>
                <w:lang w:val="fr-CA"/>
              </w:rPr>
              <w:t>est responsable des enregistrements suivants </w:t>
            </w:r>
            <w:r w:rsidR="0049614B" w:rsidRPr="00E82CF7">
              <w:rPr>
                <w:rFonts w:ascii="Arial" w:hAnsi="Arial" w:cs="Arial"/>
                <w:sz w:val="20"/>
                <w:szCs w:val="20"/>
                <w:lang w:val="fr-CA"/>
              </w:rPr>
              <w:t xml:space="preserve">: </w:t>
            </w:r>
          </w:p>
          <w:p w14:paraId="360B8B9A" w14:textId="77777777" w:rsidR="0049614B" w:rsidRPr="00E82CF7" w:rsidRDefault="0049614B" w:rsidP="0049614B">
            <w:pPr>
              <w:pStyle w:val="ListParagraph"/>
              <w:numPr>
                <w:ilvl w:val="0"/>
                <w:numId w:val="10"/>
              </w:numPr>
              <w:rPr>
                <w:rFonts w:ascii="Arial" w:hAnsi="Arial" w:cs="Arial"/>
                <w:sz w:val="20"/>
                <w:szCs w:val="20"/>
                <w:lang w:val="fr-CA"/>
              </w:rPr>
            </w:pPr>
            <w:r w:rsidRPr="00E82CF7">
              <w:rPr>
                <w:rFonts w:ascii="Arial" w:hAnsi="Arial" w:cs="Arial"/>
                <w:sz w:val="20"/>
                <w:szCs w:val="20"/>
                <w:lang w:val="fr-CA"/>
              </w:rPr>
              <w:t>____________________________</w:t>
            </w:r>
          </w:p>
          <w:p w14:paraId="73F76763" w14:textId="77777777" w:rsidR="0049614B" w:rsidRPr="00E82CF7" w:rsidRDefault="0049614B" w:rsidP="0049614B">
            <w:pPr>
              <w:pStyle w:val="ListParagraph"/>
              <w:numPr>
                <w:ilvl w:val="0"/>
                <w:numId w:val="10"/>
              </w:numPr>
              <w:rPr>
                <w:rFonts w:ascii="Arial" w:hAnsi="Arial" w:cs="Arial"/>
                <w:sz w:val="20"/>
                <w:szCs w:val="20"/>
                <w:lang w:val="fr-CA"/>
              </w:rPr>
            </w:pPr>
            <w:r w:rsidRPr="00E82CF7">
              <w:rPr>
                <w:rFonts w:ascii="Arial" w:hAnsi="Arial" w:cs="Arial"/>
                <w:sz w:val="20"/>
                <w:szCs w:val="20"/>
                <w:lang w:val="fr-CA"/>
              </w:rPr>
              <w:t>____________________________</w:t>
            </w:r>
          </w:p>
          <w:p w14:paraId="75463600" w14:textId="77777777" w:rsidR="0049614B" w:rsidRPr="00E82CF7" w:rsidRDefault="0049614B" w:rsidP="0049614B">
            <w:pPr>
              <w:pStyle w:val="ListParagraph"/>
              <w:numPr>
                <w:ilvl w:val="0"/>
                <w:numId w:val="10"/>
              </w:numPr>
              <w:rPr>
                <w:rFonts w:ascii="Arial" w:hAnsi="Arial" w:cs="Arial"/>
                <w:sz w:val="20"/>
                <w:szCs w:val="20"/>
                <w:lang w:val="fr-CA"/>
              </w:rPr>
            </w:pPr>
            <w:r w:rsidRPr="00E82CF7">
              <w:rPr>
                <w:rFonts w:ascii="Arial" w:hAnsi="Arial" w:cs="Arial"/>
                <w:sz w:val="20"/>
                <w:szCs w:val="20"/>
                <w:lang w:val="fr-CA"/>
              </w:rPr>
              <w:t>____________________________</w:t>
            </w:r>
          </w:p>
          <w:p w14:paraId="219293B7" w14:textId="77777777" w:rsidR="0049614B" w:rsidRPr="00E82CF7" w:rsidRDefault="0049614B" w:rsidP="0049614B">
            <w:pPr>
              <w:pStyle w:val="ListParagraph"/>
              <w:ind w:left="432"/>
              <w:rPr>
                <w:rFonts w:ascii="Arial" w:hAnsi="Arial" w:cs="Arial"/>
                <w:sz w:val="20"/>
                <w:szCs w:val="20"/>
                <w:lang w:val="fr-CA"/>
              </w:rPr>
            </w:pPr>
          </w:p>
          <w:p w14:paraId="194333E9" w14:textId="3EE9A407" w:rsidR="0049614B" w:rsidRPr="00E82CF7" w:rsidRDefault="0049614B" w:rsidP="0049614B">
            <w:pPr>
              <w:ind w:left="382"/>
              <w:rPr>
                <w:rFonts w:ascii="Arial" w:hAnsi="Arial" w:cs="Arial"/>
                <w:sz w:val="20"/>
                <w:szCs w:val="20"/>
                <w:lang w:val="fr-CA"/>
              </w:rPr>
            </w:pPr>
            <w:r w:rsidRPr="00E82CF7">
              <w:rPr>
                <w:rFonts w:ascii="Arial" w:hAnsi="Arial" w:cs="Arial"/>
                <w:sz w:val="20"/>
                <w:szCs w:val="20"/>
                <w:lang w:val="fr-CA"/>
              </w:rPr>
              <w:br/>
            </w:r>
            <w:r w:rsidR="00463408" w:rsidRPr="00E82CF7">
              <w:rPr>
                <w:rFonts w:ascii="Arial" w:hAnsi="Arial" w:cs="Arial"/>
                <w:sz w:val="20"/>
                <w:szCs w:val="20"/>
                <w:lang w:val="fr-CA"/>
              </w:rPr>
              <w:t xml:space="preserve">L’avocat enregistreur s’engage à soumettre tous les documents électroniques en même temps dans le même fichier électronique dans le système </w:t>
            </w:r>
            <w:proofErr w:type="spellStart"/>
            <w:r w:rsidR="00463408" w:rsidRPr="00E82CF7">
              <w:rPr>
                <w:rFonts w:ascii="Arial" w:hAnsi="Arial" w:cs="Arial"/>
                <w:sz w:val="20"/>
                <w:szCs w:val="20"/>
                <w:lang w:val="fr-CA"/>
              </w:rPr>
              <w:t>Teraview</w:t>
            </w:r>
            <w:proofErr w:type="spellEnd"/>
            <w:r w:rsidR="00463408" w:rsidRPr="00E82CF7">
              <w:rPr>
                <w:rFonts w:ascii="Arial" w:hAnsi="Arial" w:cs="Arial"/>
                <w:sz w:val="20"/>
                <w:szCs w:val="20"/>
                <w:lang w:val="fr-CA"/>
              </w:rPr>
              <w:t xml:space="preserve"> afin que ceux-ci soient enregistrés consécutivement sans autre enregistrement intermédiaire</w:t>
            </w:r>
            <w:r w:rsidRPr="00E82CF7">
              <w:rPr>
                <w:rFonts w:ascii="Arial" w:hAnsi="Arial" w:cs="Arial"/>
                <w:sz w:val="20"/>
                <w:szCs w:val="20"/>
                <w:lang w:val="fr-CA"/>
              </w:rPr>
              <w:t xml:space="preserve">. </w:t>
            </w:r>
            <w:r w:rsidR="00463408" w:rsidRPr="00E82CF7">
              <w:rPr>
                <w:rFonts w:ascii="Arial" w:hAnsi="Arial" w:cs="Arial"/>
                <w:sz w:val="20"/>
                <w:szCs w:val="20"/>
                <w:lang w:val="fr-CA"/>
              </w:rPr>
              <w:t xml:space="preserve">L’avocat enregistreur s’engage à mener une première recherche avant d’enregistrer les documents électroniques et </w:t>
            </w:r>
            <w:r w:rsidR="004F072F" w:rsidRPr="00E82CF7">
              <w:rPr>
                <w:rFonts w:ascii="Arial" w:hAnsi="Arial" w:cs="Arial"/>
                <w:sz w:val="20"/>
                <w:szCs w:val="20"/>
                <w:lang w:val="fr-CA"/>
              </w:rPr>
              <w:t>à</w:t>
            </w:r>
            <w:r w:rsidR="00463408" w:rsidRPr="00E82CF7">
              <w:rPr>
                <w:rFonts w:ascii="Arial" w:hAnsi="Arial" w:cs="Arial"/>
                <w:sz w:val="20"/>
                <w:szCs w:val="20"/>
                <w:lang w:val="fr-CA"/>
              </w:rPr>
              <w:t xml:space="preserve"> ne tenter de les enregistrer que s’il n’y a pas d’enregistrement ultérieur </w:t>
            </w:r>
            <w:r w:rsidR="002149E9" w:rsidRPr="00E82CF7">
              <w:rPr>
                <w:rFonts w:ascii="Arial" w:hAnsi="Arial" w:cs="Arial"/>
                <w:sz w:val="20"/>
                <w:szCs w:val="20"/>
                <w:lang w:val="fr-CA"/>
              </w:rPr>
              <w:t xml:space="preserve">à </w:t>
            </w:r>
            <w:r w:rsidR="00036676" w:rsidRPr="00E82CF7">
              <w:rPr>
                <w:rFonts w:ascii="Arial" w:hAnsi="Arial" w:cs="Arial"/>
                <w:sz w:val="20"/>
                <w:szCs w:val="20"/>
                <w:lang w:val="fr-CA"/>
              </w:rPr>
              <w:t xml:space="preserve">l’acte </w:t>
            </w:r>
            <w:r w:rsidR="00463408" w:rsidRPr="00E82CF7">
              <w:rPr>
                <w:rFonts w:ascii="Arial" w:hAnsi="Arial" w:cs="Arial"/>
                <w:sz w:val="20"/>
                <w:szCs w:val="20"/>
                <w:lang w:val="fr-CA"/>
              </w:rPr>
              <w:t>n</w:t>
            </w:r>
            <w:r w:rsidR="00A46D85" w:rsidRPr="00E82CF7">
              <w:rPr>
                <w:rFonts w:ascii="Arial" w:hAnsi="Arial" w:cs="Arial"/>
                <w:sz w:val="20"/>
                <w:szCs w:val="20"/>
                <w:lang w:val="fr-CA"/>
              </w:rPr>
              <w:sym w:font="Symbol" w:char="F0B0"/>
            </w:r>
            <w:r w:rsidRPr="00E82CF7">
              <w:rPr>
                <w:rFonts w:ascii="Arial" w:hAnsi="Arial" w:cs="Arial"/>
                <w:sz w:val="20"/>
                <w:szCs w:val="20"/>
                <w:lang w:val="fr-CA"/>
              </w:rPr>
              <w:t xml:space="preserve"> ____________</w:t>
            </w:r>
            <w:r w:rsidR="005C3732" w:rsidRPr="00E82CF7">
              <w:rPr>
                <w:rFonts w:ascii="Arial" w:hAnsi="Arial" w:cs="Arial"/>
                <w:sz w:val="20"/>
                <w:szCs w:val="20"/>
                <w:lang w:val="fr-CA"/>
              </w:rPr>
              <w:t xml:space="preserve"> </w:t>
            </w:r>
            <w:r w:rsidRPr="00E82CF7">
              <w:rPr>
                <w:rFonts w:ascii="Arial" w:hAnsi="Arial" w:cs="Arial"/>
                <w:sz w:val="20"/>
                <w:szCs w:val="20"/>
                <w:lang w:val="fr-CA"/>
              </w:rPr>
              <w:t>(</w:t>
            </w:r>
            <w:r w:rsidR="005C3732" w:rsidRPr="00E82CF7">
              <w:rPr>
                <w:rFonts w:ascii="Arial" w:hAnsi="Arial" w:cs="Arial"/>
                <w:sz w:val="20"/>
                <w:szCs w:val="20"/>
                <w:lang w:val="fr-CA"/>
              </w:rPr>
              <w:t>S</w:t>
            </w:r>
            <w:r w:rsidR="00463408" w:rsidRPr="00E82CF7">
              <w:rPr>
                <w:rFonts w:ascii="Arial" w:hAnsi="Arial" w:cs="Arial"/>
                <w:sz w:val="20"/>
                <w:szCs w:val="20"/>
                <w:lang w:val="fr-CA"/>
              </w:rPr>
              <w:t xml:space="preserve">i </w:t>
            </w:r>
            <w:r w:rsidR="00B571CF" w:rsidRPr="00E82CF7">
              <w:rPr>
                <w:rFonts w:ascii="Arial" w:hAnsi="Arial" w:cs="Arial"/>
                <w:sz w:val="20"/>
                <w:szCs w:val="20"/>
                <w:lang w:val="fr-CA"/>
              </w:rPr>
              <w:t xml:space="preserve">l’indicateur d’enquête du registrateur </w:t>
            </w:r>
            <w:r w:rsidR="00463408" w:rsidRPr="00E82CF7">
              <w:rPr>
                <w:rFonts w:ascii="Arial" w:hAnsi="Arial" w:cs="Arial"/>
                <w:sz w:val="20"/>
                <w:szCs w:val="20"/>
                <w:lang w:val="fr-CA"/>
              </w:rPr>
              <w:t xml:space="preserve">demeure vide, l’avocat enregistreur peut procéder sans égard </w:t>
            </w:r>
            <w:r w:rsidR="00247DDF" w:rsidRPr="00E82CF7">
              <w:rPr>
                <w:rFonts w:ascii="Arial" w:hAnsi="Arial" w:cs="Arial"/>
                <w:sz w:val="20"/>
                <w:szCs w:val="20"/>
                <w:lang w:val="fr-CA"/>
              </w:rPr>
              <w:t xml:space="preserve">à </w:t>
            </w:r>
            <w:r w:rsidR="00B571CF" w:rsidRPr="00E82CF7">
              <w:rPr>
                <w:rFonts w:ascii="Arial" w:hAnsi="Arial" w:cs="Arial"/>
                <w:sz w:val="20"/>
                <w:szCs w:val="20"/>
                <w:lang w:val="fr-CA"/>
              </w:rPr>
              <w:t>l’indicateur</w:t>
            </w:r>
            <w:r w:rsidRPr="00E82CF7">
              <w:rPr>
                <w:rFonts w:ascii="Arial" w:hAnsi="Arial" w:cs="Arial"/>
                <w:sz w:val="20"/>
                <w:szCs w:val="20"/>
                <w:lang w:val="fr-CA"/>
              </w:rPr>
              <w:t>).</w:t>
            </w:r>
          </w:p>
          <w:p w14:paraId="0F3994BF" w14:textId="00A01B47" w:rsidR="0049614B" w:rsidRPr="00E82CF7" w:rsidRDefault="0049614B" w:rsidP="0049614B">
            <w:pPr>
              <w:ind w:left="382"/>
              <w:rPr>
                <w:rFonts w:ascii="Arial" w:hAnsi="Arial" w:cs="Arial"/>
                <w:sz w:val="20"/>
                <w:szCs w:val="20"/>
                <w:lang w:val="fr-CA"/>
              </w:rPr>
            </w:pPr>
          </w:p>
        </w:tc>
      </w:tr>
      <w:tr w:rsidR="0049614B" w:rsidRPr="00E82CF7" w14:paraId="0512245C" w14:textId="77777777" w:rsidTr="000C219F">
        <w:tc>
          <w:tcPr>
            <w:tcW w:w="1696" w:type="dxa"/>
          </w:tcPr>
          <w:p w14:paraId="4852DB9D" w14:textId="5AAA32F2" w:rsidR="0049614B" w:rsidRPr="00E82CF7" w:rsidRDefault="00A46D85" w:rsidP="0049614B">
            <w:pPr>
              <w:rPr>
                <w:rFonts w:ascii="Arial" w:hAnsi="Arial" w:cs="Arial"/>
                <w:sz w:val="20"/>
                <w:szCs w:val="20"/>
                <w:lang w:val="fr-CA"/>
              </w:rPr>
            </w:pPr>
            <w:r w:rsidRPr="00E82CF7">
              <w:rPr>
                <w:rFonts w:ascii="Arial" w:hAnsi="Arial" w:cs="Arial"/>
                <w:sz w:val="20"/>
                <w:szCs w:val="20"/>
                <w:lang w:val="fr-CA"/>
              </w:rPr>
              <w:t xml:space="preserve">Aucune </w:t>
            </w:r>
            <w:r w:rsidR="00B04849" w:rsidRPr="00E82CF7">
              <w:rPr>
                <w:rFonts w:ascii="Arial" w:hAnsi="Arial" w:cs="Arial"/>
                <w:sz w:val="20"/>
                <w:szCs w:val="20"/>
                <w:lang w:val="fr-CA"/>
              </w:rPr>
              <w:t xml:space="preserve">communication sans l’autorisation de toutes les parties </w:t>
            </w:r>
          </w:p>
        </w:tc>
        <w:tc>
          <w:tcPr>
            <w:tcW w:w="7655" w:type="dxa"/>
          </w:tcPr>
          <w:p w14:paraId="0B58DDA8" w14:textId="302AA75D" w:rsidR="0049614B" w:rsidRPr="00E82CF7" w:rsidRDefault="00B04849"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 xml:space="preserve">Chaque avocat informe les autres du moment où il est en possession des effets requis et autorise l’avocat enregistreur par écrit (ou par un autre mode convenu entre les avocats) à communiquer les documents électroniques aux fins de leur enregistrement. </w:t>
            </w:r>
            <w:r w:rsidRPr="00E82CF7">
              <w:rPr>
                <w:rFonts w:ascii="Arial" w:hAnsi="Arial" w:cs="Arial"/>
                <w:sz w:val="20"/>
                <w:szCs w:val="20"/>
                <w:u w:val="single"/>
                <w:lang w:val="fr-CA"/>
              </w:rPr>
              <w:t xml:space="preserve">Notamment, un avocat qui propose d’enregistrer la </w:t>
            </w:r>
            <w:r w:rsidR="00D9097D" w:rsidRPr="00E82CF7">
              <w:rPr>
                <w:rFonts w:ascii="Arial" w:hAnsi="Arial" w:cs="Arial"/>
                <w:sz w:val="20"/>
                <w:szCs w:val="20"/>
                <w:u w:val="single"/>
                <w:lang w:val="fr-CA"/>
              </w:rPr>
              <w:t>mainlevée</w:t>
            </w:r>
            <w:r w:rsidRPr="00E82CF7">
              <w:rPr>
                <w:rFonts w:ascii="Arial" w:hAnsi="Arial" w:cs="Arial"/>
                <w:sz w:val="20"/>
                <w:szCs w:val="20"/>
                <w:u w:val="single"/>
                <w:lang w:val="fr-CA"/>
              </w:rPr>
              <w:t xml:space="preserve"> d’une hypothèque ou d’hypothèques après l’enregistrement des documents électroniques avise les autres parties qu’il est irrévocablement autorisé à enregistrer la </w:t>
            </w:r>
            <w:r w:rsidR="00D9097D" w:rsidRPr="00E82CF7">
              <w:rPr>
                <w:rFonts w:ascii="Arial" w:hAnsi="Arial" w:cs="Arial"/>
                <w:sz w:val="20"/>
                <w:szCs w:val="20"/>
                <w:u w:val="single"/>
                <w:lang w:val="fr-CA"/>
              </w:rPr>
              <w:t xml:space="preserve">mainlevée </w:t>
            </w:r>
            <w:r w:rsidRPr="00E82CF7">
              <w:rPr>
                <w:rFonts w:ascii="Arial" w:hAnsi="Arial" w:cs="Arial"/>
                <w:sz w:val="20"/>
                <w:szCs w:val="20"/>
                <w:u w:val="single"/>
                <w:lang w:val="fr-CA"/>
              </w:rPr>
              <w:t>de l’hypothèque ou des hypothèques</w:t>
            </w:r>
            <w:r w:rsidRPr="00E82CF7">
              <w:rPr>
                <w:rFonts w:ascii="Arial" w:hAnsi="Arial" w:cs="Arial"/>
                <w:sz w:val="20"/>
                <w:szCs w:val="20"/>
                <w:lang w:val="fr-CA"/>
              </w:rPr>
              <w:t>. Cependant, l’avocat enregistreur ne communique aucun des documents électroniques aux fins de leur enregistrement avant que tous les avocats en aient autorisé la communication</w:t>
            </w:r>
            <w:r w:rsidR="0049614B" w:rsidRPr="00E82CF7">
              <w:rPr>
                <w:rFonts w:ascii="Arial" w:hAnsi="Arial" w:cs="Arial"/>
                <w:sz w:val="20"/>
                <w:szCs w:val="20"/>
                <w:lang w:val="fr-CA"/>
              </w:rPr>
              <w:t>.</w:t>
            </w:r>
          </w:p>
          <w:p w14:paraId="364B6298" w14:textId="422B1F34" w:rsidR="0049614B" w:rsidRPr="00E82CF7" w:rsidRDefault="0049614B" w:rsidP="0049614B">
            <w:pPr>
              <w:pStyle w:val="ListParagraph"/>
              <w:ind w:left="360"/>
              <w:rPr>
                <w:rFonts w:ascii="Arial" w:hAnsi="Arial" w:cs="Arial"/>
                <w:sz w:val="20"/>
                <w:szCs w:val="20"/>
                <w:lang w:val="fr-CA"/>
              </w:rPr>
            </w:pPr>
          </w:p>
        </w:tc>
      </w:tr>
      <w:tr w:rsidR="0049614B" w:rsidRPr="00E82CF7" w14:paraId="4A902980" w14:textId="77777777" w:rsidTr="000C219F">
        <w:tc>
          <w:tcPr>
            <w:tcW w:w="1696" w:type="dxa"/>
          </w:tcPr>
          <w:p w14:paraId="1D3702D6"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Responsabilité des avocats non enregistreurs</w:t>
            </w:r>
          </w:p>
          <w:p w14:paraId="627487E8" w14:textId="77777777" w:rsidR="00B04849" w:rsidRPr="00E82CF7" w:rsidRDefault="00B04849" w:rsidP="00B04849">
            <w:pPr>
              <w:rPr>
                <w:rFonts w:ascii="Arial" w:hAnsi="Arial" w:cs="Arial"/>
                <w:sz w:val="20"/>
                <w:szCs w:val="20"/>
                <w:lang w:val="fr-CA"/>
              </w:rPr>
            </w:pPr>
          </w:p>
          <w:p w14:paraId="2B8ECA04" w14:textId="77777777" w:rsidR="00B04849" w:rsidRPr="00E82CF7" w:rsidRDefault="00B04849" w:rsidP="00B04849">
            <w:pPr>
              <w:rPr>
                <w:rFonts w:ascii="Arial" w:hAnsi="Arial" w:cs="Arial"/>
                <w:sz w:val="20"/>
                <w:szCs w:val="20"/>
                <w:lang w:val="fr-CA"/>
              </w:rPr>
            </w:pPr>
            <w:proofErr w:type="gramStart"/>
            <w:r w:rsidRPr="00E82CF7">
              <w:rPr>
                <w:rFonts w:ascii="Arial" w:hAnsi="Arial" w:cs="Arial"/>
                <w:sz w:val="20"/>
                <w:szCs w:val="20"/>
                <w:lang w:val="fr-CA"/>
              </w:rPr>
              <w:t>et</w:t>
            </w:r>
            <w:proofErr w:type="gramEnd"/>
          </w:p>
          <w:p w14:paraId="1FE8C329" w14:textId="77777777" w:rsidR="00B04849" w:rsidRPr="00E82CF7" w:rsidRDefault="00B04849" w:rsidP="00B04849">
            <w:pPr>
              <w:rPr>
                <w:rFonts w:ascii="Arial" w:hAnsi="Arial" w:cs="Arial"/>
                <w:sz w:val="20"/>
                <w:szCs w:val="20"/>
                <w:lang w:val="fr-CA"/>
              </w:rPr>
            </w:pPr>
          </w:p>
          <w:p w14:paraId="6FD28DE8" w14:textId="3A7C5BA1" w:rsidR="0049614B" w:rsidRPr="00E82CF7" w:rsidRDefault="00D9097D" w:rsidP="00B04849">
            <w:pPr>
              <w:rPr>
                <w:rFonts w:ascii="Arial" w:hAnsi="Arial" w:cs="Arial"/>
                <w:sz w:val="20"/>
                <w:szCs w:val="20"/>
                <w:lang w:val="fr-CA"/>
              </w:rPr>
            </w:pPr>
            <w:r w:rsidRPr="00E82CF7">
              <w:rPr>
                <w:rFonts w:ascii="Arial" w:hAnsi="Arial" w:cs="Arial"/>
                <w:sz w:val="20"/>
                <w:szCs w:val="20"/>
                <w:lang w:val="fr-CA"/>
              </w:rPr>
              <w:t xml:space="preserve">Mainlevée </w:t>
            </w:r>
            <w:r w:rsidR="00B04849" w:rsidRPr="00E82CF7">
              <w:rPr>
                <w:rFonts w:ascii="Arial" w:hAnsi="Arial" w:cs="Arial"/>
                <w:sz w:val="20"/>
                <w:szCs w:val="20"/>
                <w:lang w:val="fr-CA"/>
              </w:rPr>
              <w:t xml:space="preserve">des effets requis par </w:t>
            </w:r>
            <w:r w:rsidR="00B04849" w:rsidRPr="00E82CF7">
              <w:rPr>
                <w:rFonts w:ascii="Arial" w:hAnsi="Arial" w:cs="Arial"/>
                <w:sz w:val="20"/>
                <w:szCs w:val="20"/>
                <w:lang w:val="fr-CA"/>
              </w:rPr>
              <w:lastRenderedPageBreak/>
              <w:t>les avocats non enregistreurs</w:t>
            </w:r>
          </w:p>
        </w:tc>
        <w:tc>
          <w:tcPr>
            <w:tcW w:w="7655" w:type="dxa"/>
          </w:tcPr>
          <w:p w14:paraId="03999432" w14:textId="17D18660" w:rsidR="0049614B" w:rsidRPr="00E82CF7" w:rsidRDefault="00B04849"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lastRenderedPageBreak/>
              <w:t>Après avoir reçu et approuvé les effets requis (</w:t>
            </w:r>
            <w:r w:rsidR="00A921FA" w:rsidRPr="00E82CF7">
              <w:rPr>
                <w:rFonts w:ascii="Arial" w:hAnsi="Arial" w:cs="Arial"/>
                <w:sz w:val="20"/>
                <w:szCs w:val="20"/>
                <w:lang w:val="fr-CA"/>
              </w:rPr>
              <w:t>le cas échéant</w:t>
            </w:r>
            <w:r w:rsidRPr="00E82CF7">
              <w:rPr>
                <w:rFonts w:ascii="Arial" w:hAnsi="Arial" w:cs="Arial"/>
                <w:sz w:val="20"/>
                <w:szCs w:val="20"/>
                <w:lang w:val="fr-CA"/>
              </w:rPr>
              <w:t xml:space="preserve">), les avocats non enregistreurs débloquent électroniquement les documents électroniques aux fins de leur enregistrement, sauf </w:t>
            </w:r>
            <w:r w:rsidR="00A921FA" w:rsidRPr="00E82CF7">
              <w:rPr>
                <w:rFonts w:ascii="Arial" w:hAnsi="Arial" w:cs="Arial"/>
                <w:sz w:val="20"/>
                <w:szCs w:val="20"/>
                <w:lang w:val="fr-CA"/>
              </w:rPr>
              <w:t xml:space="preserve">indication </w:t>
            </w:r>
            <w:r w:rsidRPr="00E82CF7">
              <w:rPr>
                <w:rFonts w:ascii="Arial" w:hAnsi="Arial" w:cs="Arial"/>
                <w:sz w:val="20"/>
                <w:szCs w:val="20"/>
                <w:lang w:val="fr-CA"/>
              </w:rPr>
              <w:t>contraire d</w:t>
            </w:r>
            <w:r w:rsidR="00A921FA" w:rsidRPr="00E82CF7">
              <w:rPr>
                <w:rFonts w:ascii="Arial" w:hAnsi="Arial" w:cs="Arial"/>
                <w:sz w:val="20"/>
                <w:szCs w:val="20"/>
                <w:lang w:val="fr-CA"/>
              </w:rPr>
              <w:t>ans</w:t>
            </w:r>
            <w:r w:rsidRPr="00E82CF7">
              <w:rPr>
                <w:rFonts w:ascii="Arial" w:hAnsi="Arial" w:cs="Arial"/>
                <w:sz w:val="20"/>
                <w:szCs w:val="20"/>
                <w:lang w:val="fr-CA"/>
              </w:rPr>
              <w:t xml:space="preserve"> la clause</w:t>
            </w:r>
            <w:r w:rsidR="00EB7C2A" w:rsidRPr="00E82CF7">
              <w:rPr>
                <w:rFonts w:ascii="Arial" w:hAnsi="Arial" w:cs="Arial"/>
                <w:sz w:val="20"/>
                <w:szCs w:val="20"/>
                <w:lang w:val="fr-CA"/>
              </w:rPr>
              <w:t> </w:t>
            </w:r>
            <w:r w:rsidRPr="00E82CF7">
              <w:rPr>
                <w:rFonts w:ascii="Arial" w:hAnsi="Arial" w:cs="Arial"/>
                <w:sz w:val="20"/>
                <w:szCs w:val="20"/>
                <w:lang w:val="fr-CA"/>
              </w:rPr>
              <w:t>3 ci-dessus et ont, par la suite, le droit de libérer les effets requis immédiatement après l</w:t>
            </w:r>
            <w:r w:rsidR="00A921FA" w:rsidRPr="00E82CF7">
              <w:rPr>
                <w:rFonts w:ascii="Arial" w:hAnsi="Arial" w:cs="Arial"/>
                <w:sz w:val="20"/>
                <w:szCs w:val="20"/>
                <w:lang w:val="fr-CA"/>
              </w:rPr>
              <w:t>a</w:t>
            </w:r>
            <w:r w:rsidRPr="00E82CF7">
              <w:rPr>
                <w:rFonts w:ascii="Arial" w:hAnsi="Arial" w:cs="Arial"/>
                <w:sz w:val="20"/>
                <w:szCs w:val="20"/>
                <w:lang w:val="fr-CA"/>
              </w:rPr>
              <w:t xml:space="preserve"> premi</w:t>
            </w:r>
            <w:r w:rsidR="00A921FA" w:rsidRPr="00E82CF7">
              <w:rPr>
                <w:rFonts w:ascii="Arial" w:hAnsi="Arial" w:cs="Arial"/>
                <w:sz w:val="20"/>
                <w:szCs w:val="20"/>
                <w:lang w:val="fr-CA"/>
              </w:rPr>
              <w:t>ère</w:t>
            </w:r>
            <w:r w:rsidRPr="00E82CF7">
              <w:rPr>
                <w:rFonts w:ascii="Arial" w:hAnsi="Arial" w:cs="Arial"/>
                <w:sz w:val="20"/>
                <w:szCs w:val="20"/>
                <w:lang w:val="fr-CA"/>
              </w:rPr>
              <w:t xml:space="preserve"> des </w:t>
            </w:r>
            <w:r w:rsidR="00A921FA" w:rsidRPr="00E82CF7">
              <w:rPr>
                <w:rFonts w:ascii="Arial" w:hAnsi="Arial" w:cs="Arial"/>
                <w:sz w:val="20"/>
                <w:szCs w:val="20"/>
                <w:lang w:val="fr-CA"/>
              </w:rPr>
              <w:t xml:space="preserve">éventualités </w:t>
            </w:r>
            <w:r w:rsidRPr="00E82CF7">
              <w:rPr>
                <w:rFonts w:ascii="Arial" w:hAnsi="Arial" w:cs="Arial"/>
                <w:sz w:val="20"/>
                <w:szCs w:val="20"/>
                <w:lang w:val="fr-CA"/>
              </w:rPr>
              <w:t>suivant</w:t>
            </w:r>
            <w:r w:rsidR="00A921FA" w:rsidRPr="00E82CF7">
              <w:rPr>
                <w:rFonts w:ascii="Arial" w:hAnsi="Arial" w:cs="Arial"/>
                <w:sz w:val="20"/>
                <w:szCs w:val="20"/>
                <w:lang w:val="fr-CA"/>
              </w:rPr>
              <w:t>e</w:t>
            </w:r>
            <w:r w:rsidRPr="00E82CF7">
              <w:rPr>
                <w:rFonts w:ascii="Arial" w:hAnsi="Arial" w:cs="Arial"/>
                <w:sz w:val="20"/>
                <w:szCs w:val="20"/>
                <w:lang w:val="fr-CA"/>
              </w:rPr>
              <w:t>s </w:t>
            </w:r>
            <w:r w:rsidR="0049614B" w:rsidRPr="00E82CF7">
              <w:rPr>
                <w:rFonts w:ascii="Arial" w:hAnsi="Arial" w:cs="Arial"/>
                <w:sz w:val="20"/>
                <w:szCs w:val="20"/>
                <w:lang w:val="fr-CA"/>
              </w:rPr>
              <w:t>:</w:t>
            </w:r>
          </w:p>
          <w:p w14:paraId="35D6EEE6" w14:textId="77777777" w:rsidR="0049614B" w:rsidRPr="00E82CF7" w:rsidRDefault="0049614B" w:rsidP="0049614B">
            <w:pPr>
              <w:rPr>
                <w:rFonts w:ascii="Arial" w:hAnsi="Arial" w:cs="Arial"/>
                <w:sz w:val="20"/>
                <w:szCs w:val="20"/>
                <w:lang w:val="fr-CA"/>
              </w:rPr>
            </w:pPr>
          </w:p>
          <w:p w14:paraId="1197B1E4" w14:textId="6B708CF2" w:rsidR="0049614B" w:rsidRPr="00E82CF7" w:rsidRDefault="00B04849" w:rsidP="0049614B">
            <w:pPr>
              <w:pStyle w:val="ListParagraph"/>
              <w:numPr>
                <w:ilvl w:val="0"/>
                <w:numId w:val="7"/>
              </w:numPr>
              <w:ind w:left="1080"/>
              <w:rPr>
                <w:rFonts w:ascii="Arial" w:hAnsi="Arial" w:cs="Arial"/>
                <w:sz w:val="20"/>
                <w:szCs w:val="20"/>
                <w:lang w:val="fr-CA"/>
              </w:rPr>
            </w:pPr>
            <w:proofErr w:type="gramStart"/>
            <w:r w:rsidRPr="00E82CF7">
              <w:rPr>
                <w:rFonts w:ascii="Arial" w:hAnsi="Arial" w:cs="Arial"/>
                <w:sz w:val="20"/>
                <w:szCs w:val="20"/>
                <w:lang w:val="fr-CA"/>
              </w:rPr>
              <w:t>l’enregistrement</w:t>
            </w:r>
            <w:proofErr w:type="gramEnd"/>
            <w:r w:rsidRPr="00E82CF7">
              <w:rPr>
                <w:rFonts w:ascii="Arial" w:hAnsi="Arial" w:cs="Arial"/>
                <w:sz w:val="20"/>
                <w:szCs w:val="20"/>
                <w:lang w:val="fr-CA"/>
              </w:rPr>
              <w:t xml:space="preserve"> des documents électroniques </w:t>
            </w:r>
            <w:r w:rsidR="0049614B" w:rsidRPr="00E82CF7">
              <w:rPr>
                <w:rFonts w:ascii="Arial" w:hAnsi="Arial" w:cs="Arial"/>
                <w:sz w:val="20"/>
                <w:szCs w:val="20"/>
                <w:lang w:val="fr-CA"/>
              </w:rPr>
              <w:t>;</w:t>
            </w:r>
          </w:p>
          <w:p w14:paraId="0390447C" w14:textId="77777777" w:rsidR="0049614B" w:rsidRPr="00E82CF7" w:rsidRDefault="0049614B" w:rsidP="0049614B">
            <w:pPr>
              <w:ind w:left="360"/>
              <w:rPr>
                <w:rFonts w:ascii="Arial" w:hAnsi="Arial" w:cs="Arial"/>
                <w:sz w:val="20"/>
                <w:szCs w:val="20"/>
                <w:lang w:val="fr-CA"/>
              </w:rPr>
            </w:pPr>
          </w:p>
          <w:p w14:paraId="239C1E62" w14:textId="11A44ECD" w:rsidR="0049614B" w:rsidRPr="00E82CF7" w:rsidRDefault="00B04849" w:rsidP="0049614B">
            <w:pPr>
              <w:pStyle w:val="ListParagraph"/>
              <w:numPr>
                <w:ilvl w:val="0"/>
                <w:numId w:val="7"/>
              </w:numPr>
              <w:tabs>
                <w:tab w:val="left" w:pos="882"/>
              </w:tabs>
              <w:ind w:left="1080"/>
              <w:rPr>
                <w:rFonts w:ascii="Arial" w:hAnsi="Arial" w:cs="Arial"/>
                <w:sz w:val="20"/>
                <w:szCs w:val="20"/>
                <w:lang w:val="fr-CA"/>
              </w:rPr>
            </w:pPr>
            <w:proofErr w:type="gramStart"/>
            <w:r w:rsidRPr="00E82CF7">
              <w:rPr>
                <w:rFonts w:ascii="Arial" w:hAnsi="Arial" w:cs="Arial"/>
                <w:sz w:val="20"/>
                <w:szCs w:val="20"/>
                <w:lang w:val="fr-CA"/>
              </w:rPr>
              <w:lastRenderedPageBreak/>
              <w:t>l’heure</w:t>
            </w:r>
            <w:proofErr w:type="gramEnd"/>
            <w:r w:rsidRPr="00E82CF7">
              <w:rPr>
                <w:rFonts w:ascii="Arial" w:hAnsi="Arial" w:cs="Arial"/>
                <w:sz w:val="20"/>
                <w:szCs w:val="20"/>
                <w:lang w:val="fr-CA"/>
              </w:rPr>
              <w:t xml:space="preserve"> d</w:t>
            </w:r>
            <w:r w:rsidR="00EB19A9" w:rsidRPr="00E82CF7">
              <w:rPr>
                <w:rFonts w:ascii="Arial" w:hAnsi="Arial" w:cs="Arial"/>
                <w:sz w:val="20"/>
                <w:szCs w:val="20"/>
                <w:lang w:val="fr-CA"/>
              </w:rPr>
              <w:t xml:space="preserve">e la </w:t>
            </w:r>
            <w:r w:rsidR="00EB19A9" w:rsidRPr="00E82CF7">
              <w:rPr>
                <w:rFonts w:ascii="Arial" w:eastAsia="Calibri" w:hAnsi="Arial" w:cs="Arial"/>
                <w:spacing w:val="-1"/>
                <w:sz w:val="20"/>
                <w:szCs w:val="20"/>
                <w:lang w:val="fr-CA" w:eastAsia="en-US"/>
              </w:rPr>
              <w:t>clôture</w:t>
            </w:r>
            <w:r w:rsidR="00EB19A9" w:rsidRPr="00E82CF7">
              <w:rPr>
                <w:rFonts w:ascii="Arial" w:hAnsi="Arial" w:cs="Arial"/>
                <w:sz w:val="20"/>
                <w:szCs w:val="20"/>
                <w:lang w:val="fr-CA"/>
              </w:rPr>
              <w:t xml:space="preserve"> </w:t>
            </w:r>
            <w:r w:rsidRPr="00E82CF7">
              <w:rPr>
                <w:rFonts w:ascii="Arial" w:hAnsi="Arial" w:cs="Arial"/>
                <w:sz w:val="20"/>
                <w:szCs w:val="20"/>
                <w:lang w:val="fr-CA"/>
              </w:rPr>
              <w:t>précisée dans la convention d’achat, à moins qu’une heure                  précise n’y ait été inscrite comme suit [à</w:t>
            </w:r>
            <w:r w:rsidR="00D50EE8" w:rsidRPr="00E82CF7">
              <w:rPr>
                <w:rFonts w:ascii="Arial" w:hAnsi="Arial" w:cs="Arial"/>
                <w:sz w:val="20"/>
                <w:szCs w:val="20"/>
                <w:lang w:val="fr-CA"/>
              </w:rPr>
              <w:t xml:space="preserve"> __________ </w:t>
            </w:r>
            <w:r w:rsidRPr="00E82CF7">
              <w:rPr>
                <w:rFonts w:ascii="Arial" w:hAnsi="Arial" w:cs="Arial"/>
                <w:sz w:val="20"/>
                <w:szCs w:val="20"/>
                <w:lang w:val="fr-CA"/>
              </w:rPr>
              <w:t>heures, le jour d</w:t>
            </w:r>
            <w:r w:rsidR="00EB19A9" w:rsidRPr="00E82CF7">
              <w:rPr>
                <w:rFonts w:ascii="Arial" w:hAnsi="Arial" w:cs="Arial"/>
                <w:sz w:val="20"/>
                <w:szCs w:val="20"/>
                <w:lang w:val="fr-CA"/>
              </w:rPr>
              <w:t xml:space="preserve">e </w:t>
            </w:r>
            <w:r w:rsidR="00EB19A9" w:rsidRPr="00E82CF7">
              <w:rPr>
                <w:rFonts w:ascii="Arial" w:eastAsia="Calibri" w:hAnsi="Arial" w:cs="Arial"/>
                <w:spacing w:val="-1"/>
                <w:sz w:val="20"/>
                <w:szCs w:val="20"/>
                <w:lang w:val="fr-CA" w:eastAsia="en-US"/>
              </w:rPr>
              <w:t>clôture</w:t>
            </w:r>
            <w:r w:rsidRPr="00E82CF7">
              <w:rPr>
                <w:rFonts w:ascii="Arial" w:hAnsi="Arial" w:cs="Arial"/>
                <w:sz w:val="20"/>
                <w:szCs w:val="20"/>
                <w:lang w:val="fr-CA"/>
              </w:rPr>
              <w:t>] (l’«</w:t>
            </w:r>
            <w:r w:rsidR="00EB7C2A" w:rsidRPr="00E82CF7">
              <w:rPr>
                <w:rFonts w:ascii="Arial" w:hAnsi="Arial" w:cs="Arial"/>
                <w:sz w:val="20"/>
                <w:szCs w:val="20"/>
                <w:lang w:val="fr-CA"/>
              </w:rPr>
              <w:t> </w:t>
            </w:r>
            <w:r w:rsidRPr="00E82CF7">
              <w:rPr>
                <w:rFonts w:ascii="Arial" w:hAnsi="Arial" w:cs="Arial"/>
                <w:sz w:val="20"/>
                <w:szCs w:val="20"/>
                <w:lang w:val="fr-CA"/>
              </w:rPr>
              <w:t xml:space="preserve">échéance de </w:t>
            </w:r>
            <w:r w:rsidR="00D9097D" w:rsidRPr="00E82CF7">
              <w:rPr>
                <w:rFonts w:ascii="Arial" w:hAnsi="Arial" w:cs="Arial"/>
                <w:sz w:val="20"/>
                <w:szCs w:val="20"/>
                <w:lang w:val="fr-CA"/>
              </w:rPr>
              <w:t>mainlevée </w:t>
            </w:r>
            <w:r w:rsidRPr="00E82CF7">
              <w:rPr>
                <w:rFonts w:ascii="Arial" w:hAnsi="Arial" w:cs="Arial"/>
                <w:sz w:val="20"/>
                <w:szCs w:val="20"/>
                <w:lang w:val="fr-CA"/>
              </w:rPr>
              <w:t>») et en l’absence de l’avis prévu à la clause</w:t>
            </w:r>
            <w:r w:rsidR="00EB7C2A" w:rsidRPr="00E82CF7">
              <w:rPr>
                <w:rFonts w:ascii="Arial" w:hAnsi="Arial" w:cs="Arial"/>
                <w:sz w:val="20"/>
                <w:szCs w:val="20"/>
                <w:lang w:val="fr-CA"/>
              </w:rPr>
              <w:t> </w:t>
            </w:r>
            <w:r w:rsidRPr="00E82CF7">
              <w:rPr>
                <w:rFonts w:ascii="Arial" w:hAnsi="Arial" w:cs="Arial"/>
                <w:sz w:val="20"/>
                <w:szCs w:val="20"/>
                <w:lang w:val="fr-CA"/>
              </w:rPr>
              <w:t>8 ci-dessous</w:t>
            </w:r>
            <w:r w:rsidR="00EB7C2A" w:rsidRPr="00E82CF7">
              <w:rPr>
                <w:rFonts w:ascii="Arial" w:hAnsi="Arial" w:cs="Arial"/>
                <w:sz w:val="20"/>
                <w:szCs w:val="20"/>
                <w:lang w:val="fr-CA"/>
              </w:rPr>
              <w:t> ;</w:t>
            </w:r>
            <w:r w:rsidR="0049614B" w:rsidRPr="00E82CF7">
              <w:rPr>
                <w:rFonts w:ascii="Arial" w:hAnsi="Arial" w:cs="Arial"/>
                <w:sz w:val="20"/>
                <w:szCs w:val="20"/>
                <w:lang w:val="fr-CA"/>
              </w:rPr>
              <w:t xml:space="preserve"> </w:t>
            </w:r>
          </w:p>
          <w:p w14:paraId="37464841" w14:textId="77777777" w:rsidR="0049614B" w:rsidRPr="00E82CF7" w:rsidRDefault="0049614B" w:rsidP="0049614B">
            <w:pPr>
              <w:ind w:left="360"/>
              <w:rPr>
                <w:rFonts w:ascii="Arial" w:hAnsi="Arial" w:cs="Arial"/>
                <w:sz w:val="20"/>
                <w:szCs w:val="20"/>
                <w:lang w:val="fr-CA"/>
              </w:rPr>
            </w:pPr>
          </w:p>
          <w:p w14:paraId="4CDD24C7" w14:textId="55309D72" w:rsidR="0049614B" w:rsidRPr="00E82CF7" w:rsidRDefault="00B04849" w:rsidP="0049614B">
            <w:pPr>
              <w:pStyle w:val="ListParagraph"/>
              <w:numPr>
                <w:ilvl w:val="0"/>
                <w:numId w:val="7"/>
              </w:numPr>
              <w:ind w:left="1080"/>
              <w:rPr>
                <w:rFonts w:ascii="Arial" w:hAnsi="Arial" w:cs="Arial"/>
                <w:sz w:val="20"/>
                <w:szCs w:val="20"/>
                <w:lang w:val="fr-CA"/>
              </w:rPr>
            </w:pPr>
            <w:proofErr w:type="gramStart"/>
            <w:r w:rsidRPr="00E82CF7">
              <w:rPr>
                <w:rFonts w:ascii="Arial" w:hAnsi="Arial" w:cs="Arial"/>
                <w:sz w:val="20"/>
                <w:szCs w:val="20"/>
                <w:lang w:val="fr-CA"/>
              </w:rPr>
              <w:t>la</w:t>
            </w:r>
            <w:proofErr w:type="gramEnd"/>
            <w:r w:rsidRPr="00E82CF7">
              <w:rPr>
                <w:rFonts w:ascii="Arial" w:hAnsi="Arial" w:cs="Arial"/>
                <w:sz w:val="20"/>
                <w:szCs w:val="20"/>
                <w:lang w:val="fr-CA"/>
              </w:rPr>
              <w:t xml:space="preserve"> réception de l’avis de l’avocat enregistreur de l’enregistrement des documents électroniques</w:t>
            </w:r>
            <w:r w:rsidR="0049614B" w:rsidRPr="00E82CF7">
              <w:rPr>
                <w:rFonts w:ascii="Arial" w:hAnsi="Arial" w:cs="Arial"/>
                <w:sz w:val="20"/>
                <w:szCs w:val="20"/>
                <w:lang w:val="fr-CA"/>
              </w:rPr>
              <w:t>.</w:t>
            </w:r>
          </w:p>
          <w:p w14:paraId="5AD8D6C2" w14:textId="77777777" w:rsidR="0049614B" w:rsidRPr="00E82CF7" w:rsidRDefault="0049614B" w:rsidP="0049614B">
            <w:pPr>
              <w:rPr>
                <w:rFonts w:ascii="Arial" w:hAnsi="Arial" w:cs="Arial"/>
                <w:sz w:val="20"/>
                <w:szCs w:val="20"/>
                <w:lang w:val="fr-CA"/>
              </w:rPr>
            </w:pPr>
          </w:p>
          <w:p w14:paraId="4BB3C2F7" w14:textId="3771BA7D" w:rsidR="0049614B" w:rsidRPr="00E82CF7" w:rsidRDefault="00B04849" w:rsidP="0049614B">
            <w:pPr>
              <w:ind w:left="402"/>
              <w:rPr>
                <w:rFonts w:ascii="Arial" w:hAnsi="Arial" w:cs="Arial"/>
                <w:sz w:val="20"/>
                <w:szCs w:val="20"/>
                <w:lang w:val="fr-CA"/>
              </w:rPr>
            </w:pPr>
            <w:r w:rsidRPr="00E82CF7">
              <w:rPr>
                <w:rFonts w:ascii="Arial" w:hAnsi="Arial" w:cs="Arial"/>
                <w:sz w:val="20"/>
                <w:szCs w:val="20"/>
                <w:lang w:val="fr-CA"/>
              </w:rPr>
              <w:t xml:space="preserve">L’échéance de </w:t>
            </w:r>
            <w:r w:rsidR="00D9097D" w:rsidRPr="00E82CF7">
              <w:rPr>
                <w:rFonts w:ascii="Arial" w:hAnsi="Arial" w:cs="Arial"/>
                <w:sz w:val="20"/>
                <w:szCs w:val="20"/>
                <w:lang w:val="fr-CA"/>
              </w:rPr>
              <w:t xml:space="preserve">mainlevée </w:t>
            </w:r>
            <w:r w:rsidRPr="00E82CF7">
              <w:rPr>
                <w:rFonts w:ascii="Arial" w:hAnsi="Arial" w:cs="Arial"/>
                <w:sz w:val="20"/>
                <w:szCs w:val="20"/>
                <w:lang w:val="fr-CA"/>
              </w:rPr>
              <w:t xml:space="preserve">est fixée à 18 heures, le jour </w:t>
            </w:r>
            <w:r w:rsidR="00EB19A9" w:rsidRPr="00E82CF7">
              <w:rPr>
                <w:rFonts w:ascii="Arial" w:hAnsi="Arial" w:cs="Arial"/>
                <w:sz w:val="20"/>
                <w:szCs w:val="20"/>
                <w:lang w:val="fr-CA"/>
              </w:rPr>
              <w:t xml:space="preserve">de </w:t>
            </w:r>
            <w:r w:rsidR="00EB19A9" w:rsidRPr="00E82CF7">
              <w:rPr>
                <w:rFonts w:ascii="Arial" w:eastAsia="Calibri" w:hAnsi="Arial" w:cs="Arial"/>
                <w:spacing w:val="-1"/>
                <w:sz w:val="20"/>
                <w:szCs w:val="20"/>
                <w:lang w:val="fr-CA" w:eastAsia="en-US"/>
              </w:rPr>
              <w:t>clôture</w:t>
            </w:r>
            <w:r w:rsidRPr="00E82CF7">
              <w:rPr>
                <w:rFonts w:ascii="Arial" w:hAnsi="Arial" w:cs="Arial"/>
                <w:sz w:val="20"/>
                <w:szCs w:val="20"/>
                <w:lang w:val="fr-CA"/>
              </w:rPr>
              <w:t xml:space="preserve">, si la convention d’achat ne précise pas d’heure de </w:t>
            </w:r>
            <w:r w:rsidR="00091F12" w:rsidRPr="00E82CF7">
              <w:rPr>
                <w:rFonts w:ascii="Arial" w:hAnsi="Arial" w:cs="Arial"/>
                <w:sz w:val="20"/>
                <w:szCs w:val="20"/>
                <w:lang w:val="fr-CA"/>
              </w:rPr>
              <w:t xml:space="preserve">mainlevée </w:t>
            </w:r>
            <w:r w:rsidRPr="00E82CF7">
              <w:rPr>
                <w:rFonts w:ascii="Arial" w:hAnsi="Arial" w:cs="Arial"/>
                <w:sz w:val="20"/>
                <w:szCs w:val="20"/>
                <w:lang w:val="fr-CA"/>
              </w:rPr>
              <w:t>et qu’aucune échéance n’y est spécifiquement précisée</w:t>
            </w:r>
            <w:r w:rsidR="0049614B" w:rsidRPr="00E82CF7">
              <w:rPr>
                <w:rFonts w:ascii="Arial" w:hAnsi="Arial" w:cs="Arial"/>
                <w:sz w:val="20"/>
                <w:szCs w:val="20"/>
                <w:lang w:val="fr-CA"/>
              </w:rPr>
              <w:t>.</w:t>
            </w:r>
          </w:p>
          <w:p w14:paraId="4A4B6C8D" w14:textId="77777777" w:rsidR="0049614B" w:rsidRPr="00E82CF7" w:rsidRDefault="0049614B" w:rsidP="0049614B">
            <w:pPr>
              <w:rPr>
                <w:rFonts w:ascii="Arial" w:hAnsi="Arial" w:cs="Arial"/>
                <w:sz w:val="20"/>
                <w:szCs w:val="20"/>
                <w:lang w:val="fr-CA"/>
              </w:rPr>
            </w:pPr>
          </w:p>
        </w:tc>
      </w:tr>
      <w:tr w:rsidR="0049614B" w:rsidRPr="00E82CF7" w14:paraId="19E160C1" w14:textId="77777777" w:rsidTr="000C219F">
        <w:tc>
          <w:tcPr>
            <w:tcW w:w="1696" w:type="dxa"/>
          </w:tcPr>
          <w:p w14:paraId="46DDBA3A" w14:textId="08555AAD" w:rsidR="0049614B" w:rsidRPr="00E82CF7" w:rsidRDefault="00B04849" w:rsidP="00B04849">
            <w:pPr>
              <w:rPr>
                <w:rFonts w:ascii="Arial" w:hAnsi="Arial" w:cs="Arial"/>
                <w:sz w:val="20"/>
                <w:szCs w:val="20"/>
                <w:lang w:val="fr-CA"/>
              </w:rPr>
            </w:pPr>
            <w:r w:rsidRPr="00E82CF7">
              <w:rPr>
                <w:rFonts w:ascii="Arial" w:hAnsi="Arial" w:cs="Arial"/>
                <w:sz w:val="20"/>
                <w:szCs w:val="20"/>
                <w:lang w:val="fr-CA"/>
              </w:rPr>
              <w:lastRenderedPageBreak/>
              <w:t>Responsabilité de l’avocat enregistreur</w:t>
            </w:r>
          </w:p>
        </w:tc>
        <w:tc>
          <w:tcPr>
            <w:tcW w:w="7655" w:type="dxa"/>
          </w:tcPr>
          <w:p w14:paraId="7D3F5B56" w14:textId="4E58024A" w:rsidR="0049614B" w:rsidRPr="00E82CF7" w:rsidRDefault="00B04849" w:rsidP="0049614B">
            <w:pPr>
              <w:pStyle w:val="ListParagraph"/>
              <w:numPr>
                <w:ilvl w:val="0"/>
                <w:numId w:val="6"/>
              </w:numPr>
              <w:tabs>
                <w:tab w:val="left" w:pos="402"/>
              </w:tabs>
              <w:rPr>
                <w:rFonts w:ascii="Arial" w:hAnsi="Arial" w:cs="Arial"/>
                <w:sz w:val="20"/>
                <w:szCs w:val="20"/>
                <w:lang w:val="fr-CA"/>
              </w:rPr>
            </w:pPr>
            <w:r w:rsidRPr="00E82CF7">
              <w:rPr>
                <w:rFonts w:ascii="Arial" w:hAnsi="Arial" w:cs="Arial"/>
                <w:sz w:val="20"/>
                <w:szCs w:val="20"/>
                <w:lang w:val="fr-CA"/>
              </w:rPr>
              <w:t>Sous réserve des clauses</w:t>
            </w:r>
            <w:r w:rsidR="00EB7C2A" w:rsidRPr="00E82CF7">
              <w:rPr>
                <w:rFonts w:ascii="Arial" w:hAnsi="Arial" w:cs="Arial"/>
                <w:sz w:val="20"/>
                <w:szCs w:val="20"/>
                <w:lang w:val="fr-CA"/>
              </w:rPr>
              <w:t> </w:t>
            </w:r>
            <w:r w:rsidRPr="00E82CF7">
              <w:rPr>
                <w:rFonts w:ascii="Arial" w:hAnsi="Arial" w:cs="Arial"/>
                <w:sz w:val="20"/>
                <w:szCs w:val="20"/>
                <w:lang w:val="fr-CA"/>
              </w:rPr>
              <w:t>3 et 8 de la présente convention, après avoir reçu et approuvé les effets requis (</w:t>
            </w:r>
            <w:r w:rsidR="00455D42" w:rsidRPr="00E82CF7">
              <w:rPr>
                <w:rFonts w:ascii="Arial" w:hAnsi="Arial" w:cs="Arial"/>
                <w:sz w:val="20"/>
                <w:szCs w:val="20"/>
                <w:lang w:val="fr-CA"/>
              </w:rPr>
              <w:t>le cas échéant</w:t>
            </w:r>
            <w:r w:rsidRPr="00E82CF7">
              <w:rPr>
                <w:rFonts w:ascii="Arial" w:hAnsi="Arial" w:cs="Arial"/>
                <w:sz w:val="20"/>
                <w:szCs w:val="20"/>
                <w:lang w:val="fr-CA"/>
              </w:rPr>
              <w:t>), l’avocat enregistreur fait enregistrer, le jour d</w:t>
            </w:r>
            <w:r w:rsidR="00EB19A9" w:rsidRPr="00E82CF7">
              <w:rPr>
                <w:rFonts w:ascii="Arial" w:hAnsi="Arial" w:cs="Arial"/>
                <w:sz w:val="20"/>
                <w:szCs w:val="20"/>
                <w:lang w:val="fr-CA"/>
              </w:rPr>
              <w:t>e</w:t>
            </w:r>
            <w:r w:rsidRPr="00E82CF7">
              <w:rPr>
                <w:rFonts w:ascii="Arial" w:hAnsi="Arial" w:cs="Arial"/>
                <w:sz w:val="20"/>
                <w:szCs w:val="20"/>
                <w:lang w:val="fr-CA"/>
              </w:rPr>
              <w:t xml:space="preserve"> </w:t>
            </w:r>
            <w:r w:rsidR="00EB19A9" w:rsidRPr="00E82CF7">
              <w:rPr>
                <w:rFonts w:ascii="Arial" w:eastAsia="Calibri" w:hAnsi="Arial" w:cs="Arial"/>
                <w:spacing w:val="-1"/>
                <w:sz w:val="20"/>
                <w:szCs w:val="20"/>
                <w:lang w:val="fr-CA" w:eastAsia="en-US"/>
              </w:rPr>
              <w:t>clôture</w:t>
            </w:r>
            <w:r w:rsidRPr="00E82CF7">
              <w:rPr>
                <w:rFonts w:ascii="Arial" w:hAnsi="Arial" w:cs="Arial"/>
                <w:sz w:val="20"/>
                <w:szCs w:val="20"/>
                <w:lang w:val="fr-CA"/>
              </w:rPr>
              <w:t xml:space="preserve">, les documents électroniques, dans l’ordre de priorité qui y figure et aussi rapidement qu’il lui est possible de le faire </w:t>
            </w:r>
            <w:r w:rsidR="00455D42" w:rsidRPr="00E82CF7">
              <w:rPr>
                <w:rFonts w:ascii="Arial" w:hAnsi="Arial" w:cs="Arial"/>
                <w:sz w:val="20"/>
                <w:szCs w:val="20"/>
                <w:lang w:val="fr-CA"/>
              </w:rPr>
              <w:t xml:space="preserve">une fois </w:t>
            </w:r>
            <w:r w:rsidRPr="00E82CF7">
              <w:rPr>
                <w:rFonts w:ascii="Arial" w:hAnsi="Arial" w:cs="Arial"/>
                <w:sz w:val="20"/>
                <w:szCs w:val="20"/>
                <w:lang w:val="fr-CA"/>
              </w:rPr>
              <w:t xml:space="preserve">que les avocats non enregistreurs les ont débloqués aux fins de leur enregistrement. Immédiatement après, il informe ces derniers des détails de leur enregistrement par téléphone ou télécopieur (ou par </w:t>
            </w:r>
            <w:r w:rsidR="00455D42" w:rsidRPr="00E82CF7">
              <w:rPr>
                <w:rFonts w:ascii="Arial" w:hAnsi="Arial" w:cs="Arial"/>
                <w:sz w:val="20"/>
                <w:szCs w:val="20"/>
                <w:lang w:val="fr-CA"/>
              </w:rPr>
              <w:t xml:space="preserve">un </w:t>
            </w:r>
            <w:r w:rsidRPr="00E82CF7">
              <w:rPr>
                <w:rFonts w:ascii="Arial" w:hAnsi="Arial" w:cs="Arial"/>
                <w:sz w:val="20"/>
                <w:szCs w:val="20"/>
                <w:lang w:val="fr-CA"/>
              </w:rPr>
              <w:t>autre mode convenu entre les parties).</w:t>
            </w:r>
          </w:p>
          <w:p w14:paraId="40806CF9" w14:textId="6B3C2409" w:rsidR="0049614B" w:rsidRPr="00E82CF7" w:rsidRDefault="0049614B" w:rsidP="0049614B">
            <w:pPr>
              <w:pStyle w:val="ListParagraph"/>
              <w:tabs>
                <w:tab w:val="left" w:pos="402"/>
              </w:tabs>
              <w:ind w:left="360"/>
              <w:rPr>
                <w:rFonts w:ascii="Arial" w:hAnsi="Arial" w:cs="Arial"/>
                <w:sz w:val="20"/>
                <w:szCs w:val="20"/>
                <w:lang w:val="fr-CA"/>
              </w:rPr>
            </w:pPr>
          </w:p>
        </w:tc>
      </w:tr>
      <w:tr w:rsidR="0049614B" w:rsidRPr="00E82CF7" w14:paraId="2E896C0D" w14:textId="77777777" w:rsidTr="000C219F">
        <w:tc>
          <w:tcPr>
            <w:tcW w:w="1696" w:type="dxa"/>
          </w:tcPr>
          <w:p w14:paraId="7EAD5EA2" w14:textId="7575AE84" w:rsidR="0049614B" w:rsidRPr="00E82CF7" w:rsidRDefault="00D9097D" w:rsidP="0049614B">
            <w:pPr>
              <w:rPr>
                <w:rFonts w:ascii="Arial" w:hAnsi="Arial" w:cs="Arial"/>
                <w:sz w:val="20"/>
                <w:szCs w:val="20"/>
                <w:lang w:val="fr-CA"/>
              </w:rPr>
            </w:pPr>
            <w:r w:rsidRPr="00E82CF7">
              <w:rPr>
                <w:rFonts w:ascii="Arial" w:hAnsi="Arial" w:cs="Arial"/>
                <w:sz w:val="20"/>
                <w:szCs w:val="20"/>
                <w:lang w:val="fr-CA"/>
              </w:rPr>
              <w:t xml:space="preserve">Mainlevée </w:t>
            </w:r>
            <w:r w:rsidR="00B04849" w:rsidRPr="00E82CF7">
              <w:rPr>
                <w:rFonts w:ascii="Arial" w:hAnsi="Arial" w:cs="Arial"/>
                <w:sz w:val="20"/>
                <w:szCs w:val="20"/>
                <w:lang w:val="fr-CA"/>
              </w:rPr>
              <w:t>des effets requis par l’avocat enregistreur</w:t>
            </w:r>
          </w:p>
        </w:tc>
        <w:tc>
          <w:tcPr>
            <w:tcW w:w="7655" w:type="dxa"/>
          </w:tcPr>
          <w:p w14:paraId="16860563" w14:textId="160E8744" w:rsidR="0049614B" w:rsidRPr="00E82CF7" w:rsidRDefault="0049614B"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Après l’enregistrement des documents électroniques et la réception de l’avis de l’avocat non enregistreur conformément à la clause 6 ci-dessus, l’avocat enregistreur a le droit de libérer les effets requis immédiatement.</w:t>
            </w:r>
          </w:p>
        </w:tc>
      </w:tr>
      <w:tr w:rsidR="0049614B" w:rsidRPr="00E82CF7" w14:paraId="709D16C7" w14:textId="77777777" w:rsidTr="000C219F">
        <w:tc>
          <w:tcPr>
            <w:tcW w:w="1696" w:type="dxa"/>
          </w:tcPr>
          <w:p w14:paraId="316430E7" w14:textId="0B118A7C" w:rsidR="0049614B" w:rsidRPr="00E82CF7" w:rsidRDefault="00B04849" w:rsidP="0049614B">
            <w:pPr>
              <w:rPr>
                <w:rFonts w:ascii="Arial" w:hAnsi="Arial" w:cs="Arial"/>
                <w:sz w:val="20"/>
                <w:szCs w:val="20"/>
                <w:lang w:val="fr-CA"/>
              </w:rPr>
            </w:pPr>
            <w:r w:rsidRPr="00E82CF7">
              <w:rPr>
                <w:rFonts w:ascii="Arial" w:hAnsi="Arial" w:cs="Arial"/>
                <w:sz w:val="20"/>
                <w:szCs w:val="20"/>
                <w:lang w:val="fr-CA"/>
              </w:rPr>
              <w:t>Retour des effets en l’absence d’enregistrement</w:t>
            </w:r>
          </w:p>
        </w:tc>
        <w:tc>
          <w:tcPr>
            <w:tcW w:w="7655" w:type="dxa"/>
          </w:tcPr>
          <w:p w14:paraId="4C2D9C48" w14:textId="34DDD371" w:rsidR="0049614B" w:rsidRPr="00E82CF7" w:rsidRDefault="00B04849"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Une partie à la présente peut aviser les autres du fait qu’elle ne souhaite pas que l’enregistrement</w:t>
            </w:r>
            <w:r w:rsidR="005C3732" w:rsidRPr="00E82CF7">
              <w:rPr>
                <w:rStyle w:val="FootnoteReference"/>
                <w:rFonts w:ascii="Arial" w:hAnsi="Arial" w:cs="Arial"/>
                <w:sz w:val="20"/>
                <w:szCs w:val="20"/>
                <w:lang w:val="fr-CA"/>
              </w:rPr>
              <w:footnoteReference w:id="2"/>
            </w:r>
            <w:r w:rsidRPr="00E82CF7">
              <w:rPr>
                <w:rFonts w:ascii="Arial" w:hAnsi="Arial" w:cs="Arial"/>
                <w:sz w:val="20"/>
                <w:szCs w:val="20"/>
                <w:lang w:val="fr-CA"/>
              </w:rPr>
              <w:t xml:space="preserve"> des documents électroniques aille de l’avant. À condition que l’</w:t>
            </w:r>
            <w:r w:rsidR="00397D56" w:rsidRPr="00E82CF7">
              <w:rPr>
                <w:rFonts w:ascii="Arial" w:hAnsi="Arial" w:cs="Arial"/>
                <w:sz w:val="20"/>
                <w:szCs w:val="20"/>
                <w:lang w:val="fr-CA"/>
              </w:rPr>
              <w:t xml:space="preserve">autre partie </w:t>
            </w:r>
            <w:r w:rsidRPr="00E82CF7">
              <w:rPr>
                <w:rFonts w:ascii="Arial" w:hAnsi="Arial" w:cs="Arial"/>
                <w:sz w:val="20"/>
                <w:szCs w:val="20"/>
                <w:lang w:val="fr-CA"/>
              </w:rPr>
              <w:t xml:space="preserve">reçoive l’avis </w:t>
            </w:r>
            <w:r w:rsidR="00C36995" w:rsidRPr="00E82CF7">
              <w:rPr>
                <w:rFonts w:ascii="Arial" w:hAnsi="Arial" w:cs="Arial"/>
                <w:sz w:val="20"/>
                <w:szCs w:val="20"/>
                <w:lang w:val="fr-CA"/>
              </w:rPr>
              <w:t xml:space="preserve">avant la mainlevée des effets requis, conformément à la présente convention et </w:t>
            </w:r>
            <w:r w:rsidRPr="00E82CF7">
              <w:rPr>
                <w:rFonts w:ascii="Arial" w:hAnsi="Arial" w:cs="Arial"/>
                <w:sz w:val="20"/>
                <w:szCs w:val="20"/>
                <w:lang w:val="fr-CA"/>
              </w:rPr>
              <w:t>avant l’enregistrement</w:t>
            </w:r>
            <w:r w:rsidR="00C36995" w:rsidRPr="00E82CF7">
              <w:rPr>
                <w:rFonts w:ascii="Arial" w:hAnsi="Arial" w:cs="Arial"/>
                <w:sz w:val="20"/>
                <w:szCs w:val="20"/>
                <w:lang w:val="fr-CA"/>
              </w:rPr>
              <w:t xml:space="preserve"> des documents électroniques</w:t>
            </w:r>
            <w:r w:rsidRPr="00E82CF7">
              <w:rPr>
                <w:rFonts w:ascii="Arial" w:hAnsi="Arial" w:cs="Arial"/>
                <w:sz w:val="20"/>
                <w:szCs w:val="20"/>
                <w:lang w:val="fr-CA"/>
              </w:rPr>
              <w:t>, les parties se rendent alors immédiatement leurs effets requis respectifs</w:t>
            </w:r>
            <w:r w:rsidR="0049614B" w:rsidRPr="00E82CF7">
              <w:rPr>
                <w:rFonts w:ascii="Arial" w:hAnsi="Arial" w:cs="Arial"/>
                <w:sz w:val="20"/>
                <w:szCs w:val="20"/>
                <w:lang w:val="fr-CA"/>
              </w:rPr>
              <w:t>.</w:t>
            </w:r>
          </w:p>
          <w:p w14:paraId="16204FAB" w14:textId="029FEC01" w:rsidR="0049614B" w:rsidRPr="00E82CF7" w:rsidRDefault="0049614B" w:rsidP="0049614B">
            <w:pPr>
              <w:pStyle w:val="ListParagraph"/>
              <w:ind w:left="360"/>
              <w:rPr>
                <w:rFonts w:ascii="Arial" w:hAnsi="Arial" w:cs="Arial"/>
                <w:sz w:val="20"/>
                <w:szCs w:val="20"/>
                <w:lang w:val="fr-CA"/>
              </w:rPr>
            </w:pPr>
          </w:p>
        </w:tc>
      </w:tr>
      <w:tr w:rsidR="0049614B" w:rsidRPr="00E82CF7" w14:paraId="617280D8" w14:textId="77777777" w:rsidTr="000C219F">
        <w:tc>
          <w:tcPr>
            <w:tcW w:w="1696" w:type="dxa"/>
          </w:tcPr>
          <w:p w14:paraId="238E088A" w14:textId="0922240E" w:rsidR="0049614B" w:rsidRPr="00E82CF7" w:rsidRDefault="0049614B" w:rsidP="0049614B">
            <w:pPr>
              <w:rPr>
                <w:rFonts w:ascii="Arial" w:hAnsi="Arial" w:cs="Arial"/>
                <w:sz w:val="20"/>
                <w:szCs w:val="20"/>
                <w:lang w:val="fr-CA"/>
              </w:rPr>
            </w:pPr>
            <w:r w:rsidRPr="00E82CF7">
              <w:rPr>
                <w:rFonts w:ascii="Arial" w:hAnsi="Arial" w:cs="Arial"/>
                <w:spacing w:val="-1"/>
                <w:sz w:val="20"/>
                <w:szCs w:val="20"/>
                <w:lang w:val="fr-CA"/>
              </w:rPr>
              <w:t>Exemplaires</w:t>
            </w:r>
            <w:r w:rsidRPr="00E82CF7">
              <w:rPr>
                <w:rFonts w:ascii="Arial" w:hAnsi="Arial" w:cs="Arial"/>
                <w:spacing w:val="-6"/>
                <w:sz w:val="20"/>
                <w:szCs w:val="20"/>
                <w:lang w:val="fr-CA"/>
              </w:rPr>
              <w:t xml:space="preserve"> </w:t>
            </w:r>
            <w:r w:rsidRPr="00E82CF7">
              <w:rPr>
                <w:rFonts w:ascii="Arial" w:hAnsi="Arial" w:cs="Arial"/>
                <w:spacing w:val="-1"/>
                <w:sz w:val="20"/>
                <w:szCs w:val="20"/>
                <w:lang w:val="fr-CA"/>
              </w:rPr>
              <w:t>et</w:t>
            </w:r>
            <w:r w:rsidRPr="00E82CF7">
              <w:rPr>
                <w:rFonts w:ascii="Arial" w:hAnsi="Arial" w:cs="Arial"/>
                <w:spacing w:val="-7"/>
                <w:sz w:val="20"/>
                <w:szCs w:val="20"/>
                <w:lang w:val="fr-CA"/>
              </w:rPr>
              <w:t xml:space="preserve"> </w:t>
            </w:r>
            <w:r w:rsidRPr="00E82CF7">
              <w:rPr>
                <w:rFonts w:ascii="Arial" w:hAnsi="Arial" w:cs="Arial"/>
                <w:sz w:val="20"/>
                <w:szCs w:val="20"/>
                <w:lang w:val="fr-CA"/>
              </w:rPr>
              <w:t>genre</w:t>
            </w:r>
          </w:p>
        </w:tc>
        <w:tc>
          <w:tcPr>
            <w:tcW w:w="7655" w:type="dxa"/>
          </w:tcPr>
          <w:p w14:paraId="574F9748" w14:textId="13ADFA7F" w:rsidR="0049614B" w:rsidRPr="00E82CF7" w:rsidRDefault="0049614B"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 xml:space="preserve">Chacune des parties peut signer </w:t>
            </w:r>
            <w:r w:rsidR="00C36995" w:rsidRPr="00E82CF7">
              <w:rPr>
                <w:rFonts w:ascii="Arial" w:hAnsi="Arial" w:cs="Arial"/>
                <w:sz w:val="20"/>
                <w:szCs w:val="20"/>
                <w:lang w:val="fr-CA"/>
              </w:rPr>
              <w:t xml:space="preserve">plusieurs </w:t>
            </w:r>
            <w:r w:rsidRPr="00E82CF7">
              <w:rPr>
                <w:rFonts w:ascii="Arial" w:hAnsi="Arial" w:cs="Arial"/>
                <w:sz w:val="20"/>
                <w:szCs w:val="20"/>
                <w:lang w:val="fr-CA"/>
              </w:rPr>
              <w:t>exemplaire</w:t>
            </w:r>
            <w:r w:rsidR="00C36995" w:rsidRPr="00E82CF7">
              <w:rPr>
                <w:rFonts w:ascii="Arial" w:hAnsi="Arial" w:cs="Arial"/>
                <w:sz w:val="20"/>
                <w:szCs w:val="20"/>
                <w:lang w:val="fr-CA"/>
              </w:rPr>
              <w:t>s</w:t>
            </w:r>
            <w:r w:rsidRPr="00E82CF7">
              <w:rPr>
                <w:rFonts w:ascii="Arial" w:hAnsi="Arial" w:cs="Arial"/>
                <w:sz w:val="20"/>
                <w:szCs w:val="20"/>
                <w:lang w:val="fr-CA"/>
              </w:rPr>
              <w:t xml:space="preserve"> de la présente convention et celle-ci s’interprète avec les adaptations sur le plan du genre et des chiffres qu’impose le contexte.</w:t>
            </w:r>
          </w:p>
          <w:p w14:paraId="2A10CC18" w14:textId="0CD15FA9" w:rsidR="0049614B" w:rsidRPr="00E82CF7" w:rsidRDefault="0049614B" w:rsidP="0049614B">
            <w:pPr>
              <w:pStyle w:val="ListParagraph"/>
              <w:ind w:left="360"/>
              <w:rPr>
                <w:rFonts w:ascii="Arial" w:hAnsi="Arial" w:cs="Arial"/>
                <w:sz w:val="20"/>
                <w:szCs w:val="20"/>
                <w:lang w:val="fr-CA"/>
              </w:rPr>
            </w:pPr>
          </w:p>
        </w:tc>
      </w:tr>
      <w:tr w:rsidR="0049614B" w:rsidRPr="00E82CF7" w14:paraId="29EAEBBA" w14:textId="77777777" w:rsidTr="000C219F">
        <w:tc>
          <w:tcPr>
            <w:tcW w:w="1696" w:type="dxa"/>
          </w:tcPr>
          <w:p w14:paraId="3F615C29" w14:textId="146F9230" w:rsidR="0049614B" w:rsidRPr="00E82CF7" w:rsidRDefault="00C36995" w:rsidP="0049614B">
            <w:pPr>
              <w:rPr>
                <w:rFonts w:ascii="Arial" w:hAnsi="Arial" w:cs="Arial"/>
                <w:sz w:val="20"/>
                <w:szCs w:val="20"/>
                <w:lang w:val="fr-CA"/>
              </w:rPr>
            </w:pPr>
            <w:r w:rsidRPr="00E82CF7">
              <w:rPr>
                <w:rFonts w:ascii="Arial" w:hAnsi="Arial" w:cs="Arial"/>
                <w:spacing w:val="-1"/>
                <w:sz w:val="20"/>
                <w:szCs w:val="20"/>
                <w:lang w:val="fr-CA"/>
              </w:rPr>
              <w:t xml:space="preserve">Convention d’achat </w:t>
            </w:r>
            <w:r w:rsidR="00C34875" w:rsidRPr="00E82CF7">
              <w:rPr>
                <w:rFonts w:ascii="Arial" w:hAnsi="Arial" w:cs="Arial"/>
                <w:spacing w:val="-1"/>
                <w:sz w:val="20"/>
                <w:szCs w:val="20"/>
                <w:lang w:val="fr-CA"/>
              </w:rPr>
              <w:t>l’emporte</w:t>
            </w:r>
            <w:r w:rsidRPr="00E82CF7">
              <w:rPr>
                <w:rFonts w:ascii="Arial" w:hAnsi="Arial" w:cs="Arial"/>
                <w:spacing w:val="-1"/>
                <w:sz w:val="20"/>
                <w:szCs w:val="20"/>
                <w:lang w:val="fr-CA"/>
              </w:rPr>
              <w:t xml:space="preserve"> en cas de conflit ou d’i</w:t>
            </w:r>
            <w:r w:rsidR="0049614B" w:rsidRPr="00E82CF7">
              <w:rPr>
                <w:rFonts w:ascii="Arial" w:hAnsi="Arial" w:cs="Arial"/>
                <w:spacing w:val="-1"/>
                <w:sz w:val="20"/>
                <w:szCs w:val="20"/>
                <w:lang w:val="fr-CA"/>
              </w:rPr>
              <w:t>ncompatibilité</w:t>
            </w:r>
          </w:p>
        </w:tc>
        <w:tc>
          <w:tcPr>
            <w:tcW w:w="7655" w:type="dxa"/>
          </w:tcPr>
          <w:p w14:paraId="728126D9" w14:textId="1747E9D2" w:rsidR="0049614B" w:rsidRPr="00E82CF7" w:rsidRDefault="00B91BCE"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 xml:space="preserve">Aucune disposition dans la présente convention ne saurait être lue ou interprétée </w:t>
            </w:r>
            <w:r w:rsidR="00C34875" w:rsidRPr="00E82CF7">
              <w:rPr>
                <w:rFonts w:ascii="Arial" w:hAnsi="Arial" w:cs="Arial"/>
                <w:sz w:val="20"/>
                <w:szCs w:val="20"/>
                <w:lang w:val="fr-CA"/>
              </w:rPr>
              <w:t>comme ayant</w:t>
            </w:r>
            <w:r w:rsidR="0049614B" w:rsidRPr="00E82CF7">
              <w:rPr>
                <w:rFonts w:ascii="Arial" w:hAnsi="Arial" w:cs="Arial"/>
                <w:sz w:val="20"/>
                <w:szCs w:val="20"/>
                <w:lang w:val="fr-CA"/>
              </w:rPr>
              <w:t xml:space="preserve"> pour effet de modifier les obligations et droits respectifs de l’acheteur</w:t>
            </w:r>
            <w:r w:rsidR="00036676" w:rsidRPr="00E82CF7">
              <w:rPr>
                <w:rFonts w:ascii="Arial" w:hAnsi="Arial" w:cs="Arial"/>
                <w:sz w:val="20"/>
                <w:szCs w:val="20"/>
                <w:lang w:val="fr-CA"/>
              </w:rPr>
              <w:t xml:space="preserve">, </w:t>
            </w:r>
            <w:r w:rsidR="0049614B" w:rsidRPr="00E82CF7">
              <w:rPr>
                <w:rFonts w:ascii="Arial" w:hAnsi="Arial" w:cs="Arial"/>
                <w:sz w:val="20"/>
                <w:szCs w:val="20"/>
                <w:lang w:val="fr-CA"/>
              </w:rPr>
              <w:t>du vendeur</w:t>
            </w:r>
            <w:r w:rsidR="00036676" w:rsidRPr="00E82CF7">
              <w:rPr>
                <w:rFonts w:ascii="Arial" w:hAnsi="Arial" w:cs="Arial"/>
                <w:sz w:val="20"/>
                <w:szCs w:val="20"/>
                <w:lang w:val="fr-CA"/>
              </w:rPr>
              <w:t>, du prêteur ou de la quatrième partie</w:t>
            </w:r>
            <w:r w:rsidR="0049614B" w:rsidRPr="00E82CF7">
              <w:rPr>
                <w:rFonts w:ascii="Arial" w:hAnsi="Arial" w:cs="Arial"/>
                <w:sz w:val="20"/>
                <w:szCs w:val="20"/>
                <w:lang w:val="fr-CA"/>
              </w:rPr>
              <w:t xml:space="preserve">, tels que les expose plus particulièrement la convention d’achat, </w:t>
            </w:r>
            <w:r w:rsidR="00036676" w:rsidRPr="00E82CF7">
              <w:rPr>
                <w:rFonts w:ascii="Arial" w:hAnsi="Arial" w:cs="Arial"/>
                <w:sz w:val="20"/>
                <w:szCs w:val="20"/>
                <w:lang w:val="fr-CA"/>
              </w:rPr>
              <w:t>de prêt ou tout</w:t>
            </w:r>
            <w:r w:rsidR="00EB7C2A" w:rsidRPr="00E82CF7">
              <w:rPr>
                <w:rFonts w:ascii="Arial" w:hAnsi="Arial" w:cs="Arial"/>
                <w:sz w:val="20"/>
                <w:szCs w:val="20"/>
                <w:lang w:val="fr-CA"/>
              </w:rPr>
              <w:t xml:space="preserve">e </w:t>
            </w:r>
            <w:r w:rsidR="00036676" w:rsidRPr="00E82CF7">
              <w:rPr>
                <w:rFonts w:ascii="Arial" w:hAnsi="Arial" w:cs="Arial"/>
                <w:sz w:val="20"/>
                <w:szCs w:val="20"/>
                <w:lang w:val="fr-CA"/>
              </w:rPr>
              <w:t xml:space="preserve">autre entente, </w:t>
            </w:r>
            <w:r w:rsidR="0049614B" w:rsidRPr="00E82CF7">
              <w:rPr>
                <w:rFonts w:ascii="Arial" w:hAnsi="Arial" w:cs="Arial"/>
                <w:sz w:val="20"/>
                <w:szCs w:val="20"/>
                <w:lang w:val="fr-CA"/>
              </w:rPr>
              <w:t>et les dispositions de ce</w:t>
            </w:r>
            <w:r w:rsidR="00036676" w:rsidRPr="00E82CF7">
              <w:rPr>
                <w:rFonts w:ascii="Arial" w:hAnsi="Arial" w:cs="Arial"/>
                <w:sz w:val="20"/>
                <w:szCs w:val="20"/>
                <w:lang w:val="fr-CA"/>
              </w:rPr>
              <w:t xml:space="preserve">s </w:t>
            </w:r>
            <w:r w:rsidR="0049614B" w:rsidRPr="00E82CF7">
              <w:rPr>
                <w:rFonts w:ascii="Arial" w:hAnsi="Arial" w:cs="Arial"/>
                <w:sz w:val="20"/>
                <w:szCs w:val="20"/>
                <w:lang w:val="fr-CA"/>
              </w:rPr>
              <w:t>dernière</w:t>
            </w:r>
            <w:r w:rsidR="00036676" w:rsidRPr="00E82CF7">
              <w:rPr>
                <w:rFonts w:ascii="Arial" w:hAnsi="Arial" w:cs="Arial"/>
                <w:sz w:val="20"/>
                <w:szCs w:val="20"/>
                <w:lang w:val="fr-CA"/>
              </w:rPr>
              <w:t>s</w:t>
            </w:r>
            <w:r w:rsidR="0049614B" w:rsidRPr="00E82CF7">
              <w:rPr>
                <w:rFonts w:ascii="Arial" w:hAnsi="Arial" w:cs="Arial"/>
                <w:sz w:val="20"/>
                <w:szCs w:val="20"/>
                <w:lang w:val="fr-CA"/>
              </w:rPr>
              <w:t xml:space="preserve"> l’emportent sur les dispositions incompatibles de la présente.</w:t>
            </w:r>
          </w:p>
          <w:p w14:paraId="0A9C5163" w14:textId="34C48723" w:rsidR="0049614B" w:rsidRPr="00E82CF7" w:rsidRDefault="0049614B" w:rsidP="0049614B">
            <w:pPr>
              <w:pStyle w:val="ListParagraph"/>
              <w:ind w:left="360"/>
              <w:rPr>
                <w:rFonts w:ascii="Arial" w:hAnsi="Arial" w:cs="Arial"/>
                <w:sz w:val="20"/>
                <w:szCs w:val="20"/>
                <w:lang w:val="fr-CA"/>
              </w:rPr>
            </w:pPr>
          </w:p>
        </w:tc>
      </w:tr>
      <w:tr w:rsidR="0049614B" w:rsidRPr="00E82CF7" w14:paraId="3295DEA7" w14:textId="77777777" w:rsidTr="000C219F">
        <w:tc>
          <w:tcPr>
            <w:tcW w:w="1696" w:type="dxa"/>
          </w:tcPr>
          <w:p w14:paraId="4D8B8BB2" w14:textId="77777777" w:rsidR="0049614B" w:rsidRPr="00E82CF7" w:rsidRDefault="0049614B" w:rsidP="0049614B">
            <w:pPr>
              <w:pStyle w:val="TableParagraph"/>
              <w:ind w:right="291"/>
              <w:rPr>
                <w:rFonts w:ascii="Arial" w:eastAsia="Arial" w:hAnsi="Arial" w:cs="Arial"/>
                <w:sz w:val="20"/>
                <w:szCs w:val="20"/>
                <w:lang w:val="fr-CA"/>
              </w:rPr>
            </w:pPr>
            <w:r w:rsidRPr="00E82CF7">
              <w:rPr>
                <w:rFonts w:ascii="Arial" w:hAnsi="Arial" w:cs="Arial"/>
                <w:spacing w:val="-1"/>
                <w:sz w:val="20"/>
                <w:szCs w:val="20"/>
                <w:lang w:val="fr-CA"/>
              </w:rPr>
              <w:t>Envoi</w:t>
            </w:r>
            <w:r w:rsidRPr="00E82CF7">
              <w:rPr>
                <w:rFonts w:ascii="Arial" w:hAnsi="Arial" w:cs="Arial"/>
                <w:spacing w:val="-5"/>
                <w:sz w:val="20"/>
                <w:szCs w:val="20"/>
                <w:lang w:val="fr-CA"/>
              </w:rPr>
              <w:t xml:space="preserve"> </w:t>
            </w:r>
            <w:r w:rsidRPr="00E82CF7">
              <w:rPr>
                <w:rFonts w:ascii="Arial" w:hAnsi="Arial" w:cs="Arial"/>
                <w:spacing w:val="-1"/>
                <w:sz w:val="20"/>
                <w:szCs w:val="20"/>
                <w:lang w:val="fr-CA"/>
              </w:rPr>
              <w:t>par</w:t>
            </w:r>
            <w:r w:rsidRPr="00E82CF7">
              <w:rPr>
                <w:rFonts w:ascii="Arial" w:hAnsi="Arial" w:cs="Arial"/>
                <w:spacing w:val="-5"/>
                <w:sz w:val="20"/>
                <w:szCs w:val="20"/>
                <w:lang w:val="fr-CA"/>
              </w:rPr>
              <w:t xml:space="preserve"> </w:t>
            </w:r>
            <w:r w:rsidRPr="00E82CF7">
              <w:rPr>
                <w:rFonts w:ascii="Arial" w:hAnsi="Arial" w:cs="Arial"/>
                <w:spacing w:val="-1"/>
                <w:sz w:val="20"/>
                <w:szCs w:val="20"/>
                <w:lang w:val="fr-CA"/>
              </w:rPr>
              <w:t>télécopieur</w:t>
            </w:r>
            <w:r w:rsidRPr="00E82CF7">
              <w:rPr>
                <w:rFonts w:ascii="Arial" w:hAnsi="Arial" w:cs="Arial"/>
                <w:spacing w:val="26"/>
                <w:w w:val="99"/>
                <w:sz w:val="20"/>
                <w:szCs w:val="20"/>
                <w:lang w:val="fr-CA"/>
              </w:rPr>
              <w:t xml:space="preserve"> </w:t>
            </w:r>
            <w:r w:rsidRPr="00E82CF7">
              <w:rPr>
                <w:rFonts w:ascii="Arial" w:hAnsi="Arial" w:cs="Arial"/>
                <w:spacing w:val="-1"/>
                <w:sz w:val="20"/>
                <w:szCs w:val="20"/>
                <w:lang w:val="fr-CA"/>
              </w:rPr>
              <w:t>des</w:t>
            </w:r>
            <w:r w:rsidRPr="00E82CF7">
              <w:rPr>
                <w:rFonts w:ascii="Arial" w:hAnsi="Arial" w:cs="Arial"/>
                <w:spacing w:val="-3"/>
                <w:sz w:val="20"/>
                <w:szCs w:val="20"/>
                <w:lang w:val="fr-CA"/>
              </w:rPr>
              <w:t xml:space="preserve"> </w:t>
            </w:r>
            <w:r w:rsidRPr="00E82CF7">
              <w:rPr>
                <w:rFonts w:ascii="Arial" w:hAnsi="Arial" w:cs="Arial"/>
                <w:spacing w:val="-1"/>
                <w:sz w:val="20"/>
                <w:szCs w:val="20"/>
                <w:lang w:val="fr-CA"/>
              </w:rPr>
              <w:t>effets</w:t>
            </w:r>
            <w:r w:rsidRPr="00E82CF7">
              <w:rPr>
                <w:rFonts w:ascii="Arial" w:hAnsi="Arial" w:cs="Arial"/>
                <w:spacing w:val="-2"/>
                <w:sz w:val="20"/>
                <w:szCs w:val="20"/>
                <w:lang w:val="fr-CA"/>
              </w:rPr>
              <w:t xml:space="preserve"> </w:t>
            </w:r>
            <w:r w:rsidRPr="00E82CF7">
              <w:rPr>
                <w:rFonts w:ascii="Arial" w:hAnsi="Arial" w:cs="Arial"/>
                <w:spacing w:val="-1"/>
                <w:sz w:val="20"/>
                <w:szCs w:val="20"/>
                <w:lang w:val="fr-CA"/>
              </w:rPr>
              <w:t>et</w:t>
            </w:r>
          </w:p>
          <w:p w14:paraId="7D7B13F6" w14:textId="77777777" w:rsidR="0049614B" w:rsidRPr="00E82CF7" w:rsidRDefault="0049614B" w:rsidP="0049614B">
            <w:pPr>
              <w:rPr>
                <w:rFonts w:ascii="Arial" w:hAnsi="Arial" w:cs="Arial"/>
                <w:sz w:val="20"/>
                <w:szCs w:val="20"/>
                <w:lang w:val="fr-CA"/>
              </w:rPr>
            </w:pPr>
            <w:proofErr w:type="gramStart"/>
            <w:r w:rsidRPr="00E82CF7">
              <w:rPr>
                <w:rFonts w:ascii="Arial" w:hAnsi="Arial" w:cs="Arial"/>
                <w:spacing w:val="-1"/>
                <w:sz w:val="20"/>
                <w:szCs w:val="20"/>
                <w:lang w:val="fr-CA"/>
              </w:rPr>
              <w:t>fourniture</w:t>
            </w:r>
            <w:proofErr w:type="gramEnd"/>
            <w:r w:rsidRPr="00E82CF7">
              <w:rPr>
                <w:rFonts w:ascii="Arial" w:hAnsi="Arial" w:cs="Arial"/>
                <w:spacing w:val="-7"/>
                <w:sz w:val="20"/>
                <w:szCs w:val="20"/>
                <w:lang w:val="fr-CA"/>
              </w:rPr>
              <w:t xml:space="preserve"> </w:t>
            </w:r>
            <w:r w:rsidRPr="00E82CF7">
              <w:rPr>
                <w:rFonts w:ascii="Arial" w:hAnsi="Arial" w:cs="Arial"/>
                <w:sz w:val="20"/>
                <w:szCs w:val="20"/>
                <w:lang w:val="fr-CA"/>
              </w:rPr>
              <w:t>sur</w:t>
            </w:r>
            <w:r w:rsidRPr="00E82CF7">
              <w:rPr>
                <w:rFonts w:ascii="Arial" w:hAnsi="Arial" w:cs="Arial"/>
                <w:spacing w:val="-8"/>
                <w:sz w:val="20"/>
                <w:szCs w:val="20"/>
                <w:lang w:val="fr-CA"/>
              </w:rPr>
              <w:t xml:space="preserve"> </w:t>
            </w:r>
            <w:r w:rsidRPr="00E82CF7">
              <w:rPr>
                <w:rFonts w:ascii="Arial" w:hAnsi="Arial" w:cs="Arial"/>
                <w:spacing w:val="-1"/>
                <w:sz w:val="20"/>
                <w:szCs w:val="20"/>
                <w:lang w:val="fr-CA"/>
              </w:rPr>
              <w:t>demande</w:t>
            </w:r>
            <w:r w:rsidRPr="00E82CF7">
              <w:rPr>
                <w:rFonts w:ascii="Arial" w:hAnsi="Arial" w:cs="Arial"/>
                <w:spacing w:val="28"/>
                <w:w w:val="99"/>
                <w:sz w:val="20"/>
                <w:szCs w:val="20"/>
                <w:lang w:val="fr-CA"/>
              </w:rPr>
              <w:t xml:space="preserve"> </w:t>
            </w:r>
            <w:r w:rsidRPr="00E82CF7">
              <w:rPr>
                <w:rFonts w:ascii="Arial" w:hAnsi="Arial" w:cs="Arial"/>
                <w:spacing w:val="-1"/>
                <w:sz w:val="20"/>
                <w:szCs w:val="20"/>
                <w:lang w:val="fr-CA"/>
              </w:rPr>
              <w:t>des</w:t>
            </w:r>
            <w:r w:rsidRPr="00E82CF7">
              <w:rPr>
                <w:rFonts w:ascii="Arial" w:hAnsi="Arial" w:cs="Arial"/>
                <w:spacing w:val="-7"/>
                <w:sz w:val="20"/>
                <w:szCs w:val="20"/>
                <w:lang w:val="fr-CA"/>
              </w:rPr>
              <w:t xml:space="preserve"> </w:t>
            </w:r>
            <w:r w:rsidRPr="00E82CF7">
              <w:rPr>
                <w:rFonts w:ascii="Arial" w:hAnsi="Arial" w:cs="Arial"/>
                <w:sz w:val="20"/>
                <w:szCs w:val="20"/>
                <w:lang w:val="fr-CA"/>
              </w:rPr>
              <w:t>originaux</w:t>
            </w:r>
          </w:p>
          <w:p w14:paraId="4B297C25" w14:textId="6AED5965" w:rsidR="0049614B" w:rsidRPr="00E82CF7" w:rsidRDefault="0049614B" w:rsidP="0049614B">
            <w:pPr>
              <w:rPr>
                <w:rFonts w:ascii="Arial" w:hAnsi="Arial" w:cs="Arial"/>
                <w:sz w:val="20"/>
                <w:szCs w:val="20"/>
                <w:lang w:val="fr-CA"/>
              </w:rPr>
            </w:pPr>
          </w:p>
        </w:tc>
        <w:tc>
          <w:tcPr>
            <w:tcW w:w="7655" w:type="dxa"/>
          </w:tcPr>
          <w:p w14:paraId="531971E1" w14:textId="4A095277" w:rsidR="0049614B" w:rsidRPr="00E82CF7" w:rsidRDefault="0049614B"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 xml:space="preserve">Les parties peuvent s’échanger la présente convention (ou ses exemplaires) par courriel, </w:t>
            </w:r>
            <w:r w:rsidR="001713FE" w:rsidRPr="00E82CF7">
              <w:rPr>
                <w:rFonts w:ascii="Arial" w:hAnsi="Arial" w:cs="Arial"/>
                <w:sz w:val="20"/>
                <w:szCs w:val="20"/>
                <w:lang w:val="fr-CA"/>
              </w:rPr>
              <w:t xml:space="preserve">par </w:t>
            </w:r>
            <w:r w:rsidRPr="00E82CF7">
              <w:rPr>
                <w:rFonts w:ascii="Arial" w:hAnsi="Arial" w:cs="Arial"/>
                <w:sz w:val="20"/>
                <w:szCs w:val="20"/>
                <w:lang w:val="fr-CA"/>
              </w:rPr>
              <w:t xml:space="preserve">télécopieur ou par tout autre mode de transmission permettant de reproduire l’original, à condition qu’elles aient </w:t>
            </w:r>
            <w:r w:rsidR="0068732C" w:rsidRPr="00E82CF7">
              <w:rPr>
                <w:rFonts w:ascii="Arial" w:hAnsi="Arial" w:cs="Arial"/>
                <w:sz w:val="20"/>
                <w:szCs w:val="20"/>
                <w:lang w:val="fr-CA"/>
              </w:rPr>
              <w:t xml:space="preserve">dument </w:t>
            </w:r>
            <w:r w:rsidRPr="00E82CF7">
              <w:rPr>
                <w:rFonts w:ascii="Arial" w:hAnsi="Arial" w:cs="Arial"/>
                <w:sz w:val="20"/>
                <w:szCs w:val="20"/>
                <w:lang w:val="fr-CA"/>
              </w:rPr>
              <w:t xml:space="preserve">signé les documents concernés. Elles fournissent </w:t>
            </w:r>
            <w:r w:rsidR="00036676" w:rsidRPr="00E82CF7">
              <w:rPr>
                <w:rFonts w:ascii="Arial" w:hAnsi="Arial" w:cs="Arial"/>
                <w:sz w:val="20"/>
                <w:szCs w:val="20"/>
                <w:lang w:val="fr-CA"/>
              </w:rPr>
              <w:t>sur demande écrite du destinataire, au moment de l’</w:t>
            </w:r>
            <w:r w:rsidR="00DA3C3D" w:rsidRPr="00E82CF7">
              <w:rPr>
                <w:rFonts w:ascii="Arial" w:hAnsi="Arial" w:cs="Arial"/>
                <w:sz w:val="20"/>
                <w:szCs w:val="20"/>
                <w:lang w:val="fr-CA"/>
              </w:rPr>
              <w:t xml:space="preserve">utilisation </w:t>
            </w:r>
            <w:r w:rsidR="00036676" w:rsidRPr="00E82CF7">
              <w:rPr>
                <w:rFonts w:ascii="Arial" w:hAnsi="Arial" w:cs="Arial"/>
                <w:sz w:val="20"/>
                <w:szCs w:val="20"/>
                <w:lang w:val="fr-CA"/>
              </w:rPr>
              <w:t xml:space="preserve">de la </w:t>
            </w:r>
            <w:r w:rsidR="0068732C" w:rsidRPr="00E82CF7">
              <w:rPr>
                <w:rFonts w:ascii="Arial" w:hAnsi="Arial" w:cs="Arial"/>
                <w:sz w:val="20"/>
                <w:szCs w:val="20"/>
                <w:lang w:val="fr-CA"/>
              </w:rPr>
              <w:t xml:space="preserve">convention </w:t>
            </w:r>
            <w:r w:rsidR="00036676" w:rsidRPr="00E82CF7">
              <w:rPr>
                <w:rFonts w:ascii="Arial" w:hAnsi="Arial" w:cs="Arial"/>
                <w:sz w:val="20"/>
                <w:szCs w:val="20"/>
                <w:lang w:val="fr-CA"/>
              </w:rPr>
              <w:t xml:space="preserve">et au plus tard à la date de </w:t>
            </w:r>
            <w:r w:rsidR="00EB19A9" w:rsidRPr="00E82CF7">
              <w:rPr>
                <w:rFonts w:ascii="Arial" w:eastAsia="Calibri" w:hAnsi="Arial" w:cs="Arial"/>
                <w:spacing w:val="-1"/>
                <w:sz w:val="20"/>
                <w:szCs w:val="20"/>
                <w:lang w:val="fr-CA" w:eastAsia="en-US"/>
              </w:rPr>
              <w:t>clôture</w:t>
            </w:r>
            <w:r w:rsidR="00036676" w:rsidRPr="00E82CF7">
              <w:rPr>
                <w:rFonts w:ascii="Arial" w:hAnsi="Arial" w:cs="Arial"/>
                <w:sz w:val="20"/>
                <w:szCs w:val="20"/>
                <w:lang w:val="fr-CA"/>
              </w:rPr>
              <w:t xml:space="preserve">, </w:t>
            </w:r>
            <w:r w:rsidRPr="00E82CF7">
              <w:rPr>
                <w:rFonts w:ascii="Arial" w:hAnsi="Arial" w:cs="Arial"/>
                <w:sz w:val="20"/>
                <w:szCs w:val="20"/>
                <w:lang w:val="fr-CA"/>
              </w:rPr>
              <w:t>le ou les originaux</w:t>
            </w:r>
            <w:r w:rsidR="0068732C" w:rsidRPr="00E82CF7">
              <w:rPr>
                <w:rFonts w:ascii="Arial" w:hAnsi="Arial" w:cs="Arial"/>
                <w:sz w:val="20"/>
                <w:szCs w:val="20"/>
                <w:lang w:val="fr-CA"/>
              </w:rPr>
              <w:t xml:space="preserve"> signés</w:t>
            </w:r>
            <w:r w:rsidRPr="00E82CF7">
              <w:rPr>
                <w:rFonts w:ascii="Arial" w:hAnsi="Arial" w:cs="Arial"/>
                <w:sz w:val="20"/>
                <w:szCs w:val="20"/>
                <w:lang w:val="fr-CA"/>
              </w:rPr>
              <w:t xml:space="preserve"> des documents ainsi transmis à leur destinataire dans les 10 jours ouvrables qui suivent le jour d</w:t>
            </w:r>
            <w:r w:rsidR="00EB19A9" w:rsidRPr="00E82CF7">
              <w:rPr>
                <w:rFonts w:ascii="Arial" w:hAnsi="Arial" w:cs="Arial"/>
                <w:sz w:val="20"/>
                <w:szCs w:val="20"/>
                <w:lang w:val="fr-CA"/>
              </w:rPr>
              <w:t>e</w:t>
            </w:r>
            <w:r w:rsidRPr="00E82CF7">
              <w:rPr>
                <w:rFonts w:ascii="Arial" w:hAnsi="Arial" w:cs="Arial"/>
                <w:sz w:val="20"/>
                <w:szCs w:val="20"/>
                <w:lang w:val="fr-CA"/>
              </w:rPr>
              <w:t xml:space="preserve"> </w:t>
            </w:r>
            <w:r w:rsidR="00EB19A9" w:rsidRPr="00E82CF7">
              <w:rPr>
                <w:rFonts w:ascii="Arial" w:eastAsia="Calibri" w:hAnsi="Arial" w:cs="Arial"/>
                <w:spacing w:val="-1"/>
                <w:sz w:val="20"/>
                <w:szCs w:val="20"/>
                <w:lang w:val="fr-CA" w:eastAsia="en-US"/>
              </w:rPr>
              <w:t>clôture</w:t>
            </w:r>
            <w:r w:rsidR="00036676" w:rsidRPr="00E82CF7">
              <w:rPr>
                <w:rFonts w:ascii="Arial" w:hAnsi="Arial" w:cs="Arial"/>
                <w:sz w:val="20"/>
                <w:szCs w:val="20"/>
                <w:lang w:val="fr-CA"/>
              </w:rPr>
              <w:t>.</w:t>
            </w:r>
          </w:p>
          <w:p w14:paraId="3DE5C3D0" w14:textId="03CC9E37" w:rsidR="0049614B" w:rsidRPr="00E82CF7" w:rsidRDefault="0049614B" w:rsidP="0049614B">
            <w:pPr>
              <w:rPr>
                <w:rFonts w:ascii="Arial" w:hAnsi="Arial" w:cs="Arial"/>
                <w:sz w:val="20"/>
                <w:szCs w:val="20"/>
                <w:lang w:val="fr-CA"/>
              </w:rPr>
            </w:pPr>
          </w:p>
        </w:tc>
      </w:tr>
      <w:tr w:rsidR="0049614B" w:rsidRPr="00E82CF7" w14:paraId="4338214B" w14:textId="77777777" w:rsidTr="000C219F">
        <w:tc>
          <w:tcPr>
            <w:tcW w:w="1696" w:type="dxa"/>
          </w:tcPr>
          <w:p w14:paraId="0A170DA9" w14:textId="5006AF94" w:rsidR="0049614B" w:rsidRPr="00E82CF7" w:rsidRDefault="00B04849" w:rsidP="0049614B">
            <w:pPr>
              <w:rPr>
                <w:rFonts w:ascii="Arial" w:hAnsi="Arial" w:cs="Arial"/>
                <w:sz w:val="20"/>
                <w:szCs w:val="20"/>
                <w:lang w:val="fr-CA"/>
              </w:rPr>
            </w:pPr>
            <w:r w:rsidRPr="00E82CF7">
              <w:rPr>
                <w:rFonts w:ascii="Arial" w:eastAsiaTheme="majorEastAsia" w:hAnsi="Arial" w:cs="Arial"/>
                <w:sz w:val="20"/>
                <w:szCs w:val="20"/>
                <w:lang w:val="fr-CA"/>
              </w:rPr>
              <w:lastRenderedPageBreak/>
              <w:t>Documents rendus pour correction</w:t>
            </w:r>
          </w:p>
        </w:tc>
        <w:tc>
          <w:tcPr>
            <w:tcW w:w="7655" w:type="dxa"/>
          </w:tcPr>
          <w:p w14:paraId="6FAE7A64" w14:textId="309F054E" w:rsidR="0049614B" w:rsidRPr="00E82CF7" w:rsidRDefault="0049614B"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 xml:space="preserve">Si le Bureau d’enregistrement immobilier avise un des avocats qu’il renvoie un des documents électroniques pour </w:t>
            </w:r>
            <w:r w:rsidR="00F64145" w:rsidRPr="00E82CF7">
              <w:rPr>
                <w:rFonts w:ascii="Arial" w:hAnsi="Arial" w:cs="Arial"/>
                <w:sz w:val="20"/>
                <w:szCs w:val="20"/>
                <w:lang w:val="fr-CA"/>
              </w:rPr>
              <w:t xml:space="preserve">qu’il soit corrigé </w:t>
            </w:r>
            <w:r w:rsidRPr="00E82CF7">
              <w:rPr>
                <w:rFonts w:ascii="Arial" w:hAnsi="Arial" w:cs="Arial"/>
                <w:sz w:val="20"/>
                <w:szCs w:val="20"/>
                <w:lang w:val="fr-CA"/>
              </w:rPr>
              <w:t xml:space="preserve">ou parce qu’il ne peut être certifié, l’avocat qui reçoit un tel avis </w:t>
            </w:r>
            <w:r w:rsidR="00F64145" w:rsidRPr="00E82CF7">
              <w:rPr>
                <w:rFonts w:ascii="Arial" w:hAnsi="Arial" w:cs="Arial"/>
                <w:sz w:val="20"/>
                <w:szCs w:val="20"/>
                <w:lang w:val="fr-CA"/>
              </w:rPr>
              <w:t xml:space="preserve">informe </w:t>
            </w:r>
            <w:r w:rsidRPr="00E82CF7">
              <w:rPr>
                <w:rFonts w:ascii="Arial" w:hAnsi="Arial" w:cs="Arial"/>
                <w:sz w:val="20"/>
                <w:szCs w:val="20"/>
                <w:lang w:val="fr-CA"/>
              </w:rPr>
              <w:t>immédiatement l’autre avocat</w:t>
            </w:r>
            <w:r w:rsidR="00DA3C3D" w:rsidRPr="00E82CF7">
              <w:rPr>
                <w:rFonts w:ascii="Arial" w:hAnsi="Arial" w:cs="Arial"/>
                <w:sz w:val="20"/>
                <w:szCs w:val="20"/>
                <w:lang w:val="fr-CA"/>
              </w:rPr>
              <w:t>,</w:t>
            </w:r>
            <w:r w:rsidRPr="00E82CF7">
              <w:rPr>
                <w:rFonts w:ascii="Arial" w:hAnsi="Arial" w:cs="Arial"/>
                <w:sz w:val="20"/>
                <w:szCs w:val="20"/>
                <w:lang w:val="fr-CA"/>
              </w:rPr>
              <w:t xml:space="preserve"> et chacun prend les mesures nécessaires pour faire les corrections ou les modifications demandées dès que possible pour </w:t>
            </w:r>
            <w:r w:rsidR="00872CE5" w:rsidRPr="00E82CF7">
              <w:rPr>
                <w:rFonts w:ascii="Arial" w:hAnsi="Arial" w:cs="Arial"/>
                <w:sz w:val="20"/>
                <w:szCs w:val="20"/>
                <w:lang w:val="fr-CA"/>
              </w:rPr>
              <w:t xml:space="preserve">effectuer </w:t>
            </w:r>
            <w:r w:rsidRPr="00E82CF7">
              <w:rPr>
                <w:rFonts w:ascii="Arial" w:hAnsi="Arial" w:cs="Arial"/>
                <w:sz w:val="20"/>
                <w:szCs w:val="20"/>
                <w:lang w:val="fr-CA"/>
              </w:rPr>
              <w:t xml:space="preserve">l’enregistrement. Si un tel avis est reçu avant la </w:t>
            </w:r>
            <w:r w:rsidR="00D9097D" w:rsidRPr="00E82CF7">
              <w:rPr>
                <w:rFonts w:ascii="Arial" w:hAnsi="Arial" w:cs="Arial"/>
                <w:sz w:val="20"/>
                <w:szCs w:val="20"/>
                <w:lang w:val="fr-CA"/>
              </w:rPr>
              <w:t xml:space="preserve">mainlevée </w:t>
            </w:r>
            <w:r w:rsidRPr="00E82CF7">
              <w:rPr>
                <w:rFonts w:ascii="Arial" w:hAnsi="Arial" w:cs="Arial"/>
                <w:sz w:val="20"/>
                <w:szCs w:val="20"/>
                <w:lang w:val="fr-CA"/>
              </w:rPr>
              <w:t xml:space="preserve">des effets requis, l’avocat n’en libère aucun à moins d’une entente mutuelle </w:t>
            </w:r>
            <w:r w:rsidR="00FF2753" w:rsidRPr="00E82CF7">
              <w:rPr>
                <w:rFonts w:ascii="Arial" w:hAnsi="Arial" w:cs="Arial"/>
                <w:sz w:val="20"/>
                <w:szCs w:val="20"/>
                <w:lang w:val="fr-CA"/>
              </w:rPr>
              <w:t xml:space="preserve">avant </w:t>
            </w:r>
            <w:r w:rsidRPr="00E82CF7">
              <w:rPr>
                <w:rFonts w:ascii="Arial" w:hAnsi="Arial" w:cs="Arial"/>
                <w:sz w:val="20"/>
                <w:szCs w:val="20"/>
                <w:lang w:val="fr-CA"/>
              </w:rPr>
              <w:t>l’achèvement de l’enregistrement.</w:t>
            </w:r>
          </w:p>
          <w:p w14:paraId="3173D17B" w14:textId="236B8A89" w:rsidR="0049614B" w:rsidRPr="00E82CF7" w:rsidRDefault="0049614B" w:rsidP="0049614B">
            <w:pPr>
              <w:pStyle w:val="ListParagraph"/>
              <w:ind w:left="360"/>
              <w:rPr>
                <w:rFonts w:ascii="Arial" w:hAnsi="Arial" w:cs="Arial"/>
                <w:sz w:val="20"/>
                <w:szCs w:val="20"/>
                <w:lang w:val="fr-CA"/>
              </w:rPr>
            </w:pPr>
          </w:p>
        </w:tc>
      </w:tr>
      <w:tr w:rsidR="0049614B" w:rsidRPr="00E82CF7" w14:paraId="472167B2" w14:textId="77777777" w:rsidTr="000C219F">
        <w:tc>
          <w:tcPr>
            <w:tcW w:w="1696" w:type="dxa"/>
          </w:tcPr>
          <w:p w14:paraId="163F2C4C" w14:textId="378F11D3" w:rsidR="0049614B" w:rsidRPr="00E82CF7" w:rsidRDefault="00B04849" w:rsidP="0049614B">
            <w:pPr>
              <w:rPr>
                <w:rFonts w:ascii="Arial" w:hAnsi="Arial" w:cs="Arial"/>
                <w:sz w:val="20"/>
                <w:szCs w:val="20"/>
                <w:lang w:val="fr-CA"/>
              </w:rPr>
            </w:pPr>
            <w:r w:rsidRPr="00E82CF7">
              <w:rPr>
                <w:rFonts w:ascii="Arial" w:hAnsi="Arial" w:cs="Arial"/>
                <w:sz w:val="20"/>
                <w:szCs w:val="20"/>
                <w:lang w:val="fr-CA"/>
              </w:rPr>
              <w:t>Clés/boites à clé</w:t>
            </w:r>
          </w:p>
          <w:p w14:paraId="3A8B6936" w14:textId="77777777" w:rsidR="0049614B" w:rsidRPr="00E82CF7" w:rsidRDefault="0049614B" w:rsidP="0049614B">
            <w:pPr>
              <w:jc w:val="center"/>
              <w:rPr>
                <w:rFonts w:ascii="Arial" w:hAnsi="Arial" w:cs="Arial"/>
                <w:sz w:val="20"/>
                <w:szCs w:val="20"/>
                <w:lang w:val="fr-CA"/>
              </w:rPr>
            </w:pPr>
          </w:p>
        </w:tc>
        <w:tc>
          <w:tcPr>
            <w:tcW w:w="7655" w:type="dxa"/>
          </w:tcPr>
          <w:p w14:paraId="1E932DE2" w14:textId="5650206D" w:rsidR="0049614B" w:rsidRPr="00E82CF7" w:rsidRDefault="0049614B"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L’accès à la propriété peut être donné en donnant les codes aux boites de verrouillage ou en échangeant les clés en utilisant une boite à clé sécurisée sur la propriété ou dans un autre lieu convenu par les parties. Le cas échéant, l’avocat du vendeur donne le code du mécanisme de verrouillage de porte ou de la boite à clé à l’avocat de l’acheteur dans le cadre de l’entiercement des effets requis. Le code peut être donné à l’acheteur conformément à la clause 7.</w:t>
            </w:r>
          </w:p>
          <w:p w14:paraId="11500D78" w14:textId="139A3941" w:rsidR="0049614B" w:rsidRPr="00E82CF7" w:rsidRDefault="0049614B" w:rsidP="0049614B">
            <w:pPr>
              <w:pStyle w:val="ListParagraph"/>
              <w:ind w:left="360"/>
              <w:rPr>
                <w:rFonts w:ascii="Arial" w:hAnsi="Arial" w:cs="Arial"/>
                <w:sz w:val="20"/>
                <w:szCs w:val="20"/>
                <w:lang w:val="fr-CA"/>
              </w:rPr>
            </w:pPr>
          </w:p>
        </w:tc>
      </w:tr>
      <w:tr w:rsidR="0049614B" w:rsidRPr="00E82CF7" w14:paraId="3DE2934C" w14:textId="77777777" w:rsidTr="000C219F">
        <w:tc>
          <w:tcPr>
            <w:tcW w:w="1696" w:type="dxa"/>
          </w:tcPr>
          <w:p w14:paraId="1A2251FD" w14:textId="60FD4729" w:rsidR="0049614B" w:rsidRPr="00E82CF7" w:rsidRDefault="00B04849" w:rsidP="0049614B">
            <w:pPr>
              <w:rPr>
                <w:rFonts w:ascii="Arial" w:hAnsi="Arial" w:cs="Arial"/>
                <w:sz w:val="20"/>
                <w:szCs w:val="20"/>
                <w:lang w:val="fr-CA"/>
              </w:rPr>
            </w:pPr>
            <w:r w:rsidRPr="00E82CF7">
              <w:rPr>
                <w:rFonts w:ascii="Arial" w:hAnsi="Arial" w:cs="Arial"/>
                <w:sz w:val="20"/>
                <w:szCs w:val="20"/>
                <w:lang w:val="fr-CA"/>
              </w:rPr>
              <w:t>Virement de fonds</w:t>
            </w:r>
          </w:p>
          <w:p w14:paraId="0767E8EC" w14:textId="77777777" w:rsidR="0049614B" w:rsidRPr="00E82CF7" w:rsidRDefault="0049614B" w:rsidP="0049614B">
            <w:pPr>
              <w:rPr>
                <w:rFonts w:ascii="Arial" w:hAnsi="Arial" w:cs="Arial"/>
                <w:sz w:val="20"/>
                <w:szCs w:val="20"/>
                <w:lang w:val="fr-CA"/>
              </w:rPr>
            </w:pPr>
          </w:p>
        </w:tc>
        <w:tc>
          <w:tcPr>
            <w:tcW w:w="7655" w:type="dxa"/>
          </w:tcPr>
          <w:p w14:paraId="385F5F94" w14:textId="727138C9" w:rsidR="0049614B" w:rsidRPr="00E82CF7" w:rsidRDefault="0049614B" w:rsidP="0049614B">
            <w:pPr>
              <w:pStyle w:val="ListParagraph"/>
              <w:numPr>
                <w:ilvl w:val="0"/>
                <w:numId w:val="6"/>
              </w:numPr>
              <w:rPr>
                <w:rFonts w:ascii="Arial" w:hAnsi="Arial" w:cs="Arial"/>
                <w:sz w:val="20"/>
                <w:szCs w:val="20"/>
                <w:lang w:val="fr-CA"/>
              </w:rPr>
            </w:pPr>
            <w:r w:rsidRPr="00E82CF7">
              <w:rPr>
                <w:rFonts w:ascii="Arial" w:hAnsi="Arial" w:cs="Arial"/>
                <w:sz w:val="20"/>
                <w:szCs w:val="20"/>
                <w:lang w:val="fr-CA"/>
              </w:rPr>
              <w:t>Les fonds peuvent être virés depuis le compte en fiducie de l’avocat de l’acheteur à celui de l’avocat du vendeur. L’acheteur est responsable des frais de virement sortant et le vendeur est responsable des frais de virement entrant.</w:t>
            </w:r>
          </w:p>
        </w:tc>
      </w:tr>
    </w:tbl>
    <w:p w14:paraId="62C037EB" w14:textId="4C877F81" w:rsidR="00031198" w:rsidRPr="00E82CF7" w:rsidRDefault="00031198">
      <w:pPr>
        <w:rPr>
          <w:rFonts w:ascii="Arial" w:hAnsi="Arial" w:cs="Arial"/>
          <w:sz w:val="20"/>
          <w:szCs w:val="20"/>
          <w:lang w:val="fr-CA"/>
        </w:rPr>
      </w:pPr>
    </w:p>
    <w:p w14:paraId="1CF79662" w14:textId="3DB1916E" w:rsidR="00FC102E" w:rsidRPr="00E82CF7" w:rsidRDefault="00B04849" w:rsidP="00FC102E">
      <w:pPr>
        <w:rPr>
          <w:rFonts w:ascii="Arial" w:hAnsi="Arial" w:cs="Arial"/>
          <w:sz w:val="20"/>
          <w:szCs w:val="20"/>
          <w:lang w:val="fr-CA"/>
        </w:rPr>
      </w:pPr>
      <w:proofErr w:type="gramStart"/>
      <w:r w:rsidRPr="00E82CF7">
        <w:rPr>
          <w:rFonts w:ascii="Arial" w:hAnsi="Arial" w:cs="Arial"/>
          <w:sz w:val="20"/>
          <w:szCs w:val="20"/>
          <w:lang w:val="fr-CA"/>
        </w:rPr>
        <w:t>Fait le</w:t>
      </w:r>
      <w:proofErr w:type="gramEnd"/>
      <w:r w:rsidRPr="00E82CF7">
        <w:rPr>
          <w:rFonts w:ascii="Arial" w:hAnsi="Arial" w:cs="Arial"/>
          <w:sz w:val="20"/>
          <w:szCs w:val="20"/>
          <w:lang w:val="fr-CA"/>
        </w:rPr>
        <w:t xml:space="preserve"> __________ jour de ______________ 20</w:t>
      </w:r>
      <w:r w:rsidR="00FC102E" w:rsidRPr="00E82CF7">
        <w:rPr>
          <w:rFonts w:ascii="Arial" w:hAnsi="Arial" w:cs="Arial"/>
          <w:sz w:val="20"/>
          <w:szCs w:val="20"/>
          <w:lang w:val="fr-CA"/>
        </w:rPr>
        <w:t>_____.</w:t>
      </w:r>
    </w:p>
    <w:p w14:paraId="7A3E86C0" w14:textId="77777777" w:rsidR="00FC102E" w:rsidRPr="00E82CF7" w:rsidRDefault="00FC102E" w:rsidP="00FC102E">
      <w:pPr>
        <w:rPr>
          <w:rFonts w:ascii="Arial" w:hAnsi="Arial" w:cs="Arial"/>
          <w:sz w:val="20"/>
          <w:szCs w:val="20"/>
          <w:lang w:val="fr-CA"/>
        </w:rPr>
      </w:pPr>
    </w:p>
    <w:p w14:paraId="3F83D629"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 xml:space="preserve">Nom (raison sociale du cabinet) de l’avocat du vendeur </w:t>
      </w:r>
      <w:r w:rsidRPr="00E82CF7">
        <w:rPr>
          <w:rFonts w:ascii="Arial" w:hAnsi="Arial" w:cs="Arial"/>
          <w:sz w:val="20"/>
          <w:szCs w:val="20"/>
          <w:lang w:val="fr-CA"/>
        </w:rPr>
        <w:tab/>
        <w:t>Nom (raison sociale du cabinet) de l’avocat de</w:t>
      </w:r>
    </w:p>
    <w:p w14:paraId="3FBBBF22"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proofErr w:type="gramStart"/>
      <w:r w:rsidRPr="00E82CF7">
        <w:rPr>
          <w:rFonts w:ascii="Arial" w:hAnsi="Arial" w:cs="Arial"/>
          <w:sz w:val="20"/>
          <w:szCs w:val="20"/>
          <w:lang w:val="fr-CA"/>
        </w:rPr>
        <w:t>l’acheteur</w:t>
      </w:r>
      <w:proofErr w:type="gramEnd"/>
    </w:p>
    <w:p w14:paraId="20A045D5"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3FA3C4FC" w14:textId="77777777" w:rsidR="00B04849" w:rsidRPr="00E82CF7" w:rsidRDefault="00B04849" w:rsidP="00B04849">
      <w:pPr>
        <w:rPr>
          <w:rFonts w:ascii="Arial" w:hAnsi="Arial" w:cs="Arial"/>
          <w:sz w:val="20"/>
          <w:szCs w:val="20"/>
          <w:lang w:val="fr-CA"/>
        </w:rPr>
      </w:pPr>
    </w:p>
    <w:p w14:paraId="08C8D1C4"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1B23F3FE" w14:textId="77777777" w:rsidR="00B04849" w:rsidRPr="00E82CF7" w:rsidRDefault="00B04849" w:rsidP="00B04849">
      <w:pPr>
        <w:rPr>
          <w:rFonts w:ascii="Arial" w:hAnsi="Arial" w:cs="Arial"/>
          <w:sz w:val="20"/>
          <w:szCs w:val="20"/>
          <w:lang w:val="fr-CA"/>
        </w:rPr>
      </w:pPr>
    </w:p>
    <w:p w14:paraId="4D541C0F"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2EC53B8D"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Nom du signataire</w:t>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t>Nom du signataire</w:t>
      </w:r>
    </w:p>
    <w:p w14:paraId="4566ABB0" w14:textId="77777777" w:rsidR="00B04849" w:rsidRPr="00E82CF7" w:rsidRDefault="00B04849">
      <w:pPr>
        <w:rPr>
          <w:rFonts w:ascii="Arial" w:hAnsi="Arial" w:cs="Arial"/>
          <w:sz w:val="20"/>
          <w:szCs w:val="20"/>
          <w:lang w:val="fr-CA"/>
        </w:rPr>
      </w:pPr>
    </w:p>
    <w:p w14:paraId="7C4B5864"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718AE278"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(Signature)</w:t>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t>(Signature)</w:t>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p>
    <w:p w14:paraId="4ABE751E" w14:textId="77777777" w:rsidR="00B04849" w:rsidRPr="00E82CF7" w:rsidRDefault="00B04849">
      <w:pPr>
        <w:rPr>
          <w:rFonts w:ascii="Arial" w:hAnsi="Arial" w:cs="Arial"/>
          <w:sz w:val="20"/>
          <w:szCs w:val="20"/>
          <w:lang w:val="fr-CA"/>
        </w:rPr>
      </w:pPr>
    </w:p>
    <w:p w14:paraId="5A00DE77"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Nom du cabinet/de l’avocat du prêteur</w:t>
      </w:r>
      <w:r w:rsidRPr="00E82CF7">
        <w:rPr>
          <w:rFonts w:ascii="Arial" w:hAnsi="Arial" w:cs="Arial"/>
          <w:sz w:val="20"/>
          <w:szCs w:val="20"/>
          <w:lang w:val="fr-CA"/>
        </w:rPr>
        <w:tab/>
      </w:r>
      <w:r w:rsidRPr="00E82CF7">
        <w:rPr>
          <w:rFonts w:ascii="Arial" w:hAnsi="Arial" w:cs="Arial"/>
          <w:sz w:val="20"/>
          <w:szCs w:val="20"/>
          <w:lang w:val="fr-CA"/>
        </w:rPr>
        <w:tab/>
        <w:t>Nom du cabinet/de l’avocat de la quatrième partie</w:t>
      </w:r>
    </w:p>
    <w:p w14:paraId="6E63596A" w14:textId="77777777" w:rsidR="00B04849" w:rsidRPr="00E82CF7" w:rsidRDefault="00B04849" w:rsidP="00B04849">
      <w:pPr>
        <w:rPr>
          <w:rFonts w:ascii="Arial" w:hAnsi="Arial" w:cs="Arial"/>
          <w:sz w:val="20"/>
          <w:szCs w:val="20"/>
          <w:lang w:val="fr-CA"/>
        </w:rPr>
      </w:pPr>
    </w:p>
    <w:p w14:paraId="746A1DB5"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26029FAB" w14:textId="77777777" w:rsidR="00B04849" w:rsidRPr="00E82CF7" w:rsidRDefault="00B04849" w:rsidP="00B04849">
      <w:pPr>
        <w:rPr>
          <w:rFonts w:ascii="Arial" w:hAnsi="Arial" w:cs="Arial"/>
          <w:sz w:val="20"/>
          <w:szCs w:val="20"/>
          <w:lang w:val="fr-CA"/>
        </w:rPr>
      </w:pPr>
    </w:p>
    <w:p w14:paraId="4DB420C9"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125AABAB" w14:textId="77777777" w:rsidR="00B04849" w:rsidRPr="00E82CF7" w:rsidRDefault="00B04849" w:rsidP="00B04849">
      <w:pPr>
        <w:rPr>
          <w:rFonts w:ascii="Arial" w:hAnsi="Arial" w:cs="Arial"/>
          <w:sz w:val="20"/>
          <w:szCs w:val="20"/>
          <w:lang w:val="fr-CA"/>
        </w:rPr>
      </w:pPr>
    </w:p>
    <w:p w14:paraId="3B788122"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p>
    <w:p w14:paraId="18FED02B" w14:textId="77777777"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Nom du signataire</w:t>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r>
      <w:r w:rsidRPr="00E82CF7">
        <w:rPr>
          <w:rFonts w:ascii="Arial" w:hAnsi="Arial" w:cs="Arial"/>
          <w:sz w:val="20"/>
          <w:szCs w:val="20"/>
          <w:lang w:val="fr-CA"/>
        </w:rPr>
        <w:tab/>
        <w:t>Nom du signataire</w:t>
      </w:r>
    </w:p>
    <w:p w14:paraId="0284BACC" w14:textId="77777777" w:rsidR="00B04849" w:rsidRPr="00E82CF7" w:rsidRDefault="00B04849" w:rsidP="00B04849">
      <w:pPr>
        <w:rPr>
          <w:rFonts w:ascii="Arial" w:hAnsi="Arial" w:cs="Arial"/>
          <w:sz w:val="20"/>
          <w:szCs w:val="20"/>
          <w:lang w:val="fr-CA"/>
        </w:rPr>
      </w:pPr>
    </w:p>
    <w:p w14:paraId="735C06E9" w14:textId="77777777" w:rsidR="00463408" w:rsidRPr="00E82CF7" w:rsidRDefault="00B04849" w:rsidP="00B04849">
      <w:pPr>
        <w:rPr>
          <w:rFonts w:ascii="Arial" w:hAnsi="Arial" w:cs="Arial"/>
          <w:sz w:val="20"/>
          <w:szCs w:val="20"/>
          <w:lang w:val="fr-CA"/>
        </w:rPr>
      </w:pPr>
      <w:r w:rsidRPr="00E82CF7">
        <w:rPr>
          <w:rFonts w:ascii="Arial" w:hAnsi="Arial" w:cs="Arial"/>
          <w:sz w:val="20"/>
          <w:szCs w:val="20"/>
          <w:lang w:val="fr-CA"/>
        </w:rPr>
        <w:t>________________________________</w:t>
      </w:r>
      <w:r w:rsidRPr="00E82CF7">
        <w:rPr>
          <w:rFonts w:ascii="Arial" w:hAnsi="Arial" w:cs="Arial"/>
          <w:sz w:val="20"/>
          <w:szCs w:val="20"/>
          <w:lang w:val="fr-CA"/>
        </w:rPr>
        <w:tab/>
      </w:r>
      <w:r w:rsidRPr="00E82CF7">
        <w:rPr>
          <w:rFonts w:ascii="Arial" w:hAnsi="Arial" w:cs="Arial"/>
          <w:sz w:val="20"/>
          <w:szCs w:val="20"/>
          <w:lang w:val="fr-CA"/>
        </w:rPr>
        <w:tab/>
        <w:t>__________________________________</w:t>
      </w:r>
      <w:r w:rsidRPr="00E82CF7" w:rsidDel="00EF6C88">
        <w:rPr>
          <w:rFonts w:ascii="Arial" w:hAnsi="Arial" w:cs="Arial"/>
          <w:sz w:val="20"/>
          <w:szCs w:val="20"/>
          <w:lang w:val="fr-CA"/>
        </w:rPr>
        <w:t xml:space="preserve"> </w:t>
      </w:r>
    </w:p>
    <w:p w14:paraId="38FEC7ED" w14:textId="035D29F0" w:rsidR="00B04849" w:rsidRPr="00E82CF7" w:rsidRDefault="00B04849" w:rsidP="00B04849">
      <w:pPr>
        <w:rPr>
          <w:rFonts w:ascii="Arial" w:hAnsi="Arial" w:cs="Arial"/>
          <w:sz w:val="20"/>
          <w:szCs w:val="20"/>
          <w:lang w:val="fr-CA"/>
        </w:rPr>
      </w:pPr>
      <w:r w:rsidRPr="00E82CF7">
        <w:rPr>
          <w:rFonts w:ascii="Arial" w:hAnsi="Arial" w:cs="Arial"/>
          <w:sz w:val="20"/>
          <w:szCs w:val="20"/>
          <w:lang w:val="fr-CA"/>
        </w:rPr>
        <w:t>(Signature)</w:t>
      </w:r>
      <w:r w:rsidR="00463408" w:rsidRPr="00E82CF7">
        <w:rPr>
          <w:rFonts w:ascii="Arial" w:hAnsi="Arial" w:cs="Arial"/>
          <w:sz w:val="20"/>
          <w:szCs w:val="20"/>
          <w:lang w:val="fr-CA"/>
        </w:rPr>
        <w:t xml:space="preserve"> </w:t>
      </w:r>
      <w:r w:rsidR="00463408" w:rsidRPr="00E82CF7">
        <w:rPr>
          <w:rFonts w:ascii="Arial" w:hAnsi="Arial" w:cs="Arial"/>
          <w:sz w:val="20"/>
          <w:szCs w:val="20"/>
          <w:lang w:val="fr-CA"/>
        </w:rPr>
        <w:tab/>
      </w:r>
      <w:r w:rsidR="00463408" w:rsidRPr="00E82CF7">
        <w:rPr>
          <w:rFonts w:ascii="Arial" w:hAnsi="Arial" w:cs="Arial"/>
          <w:sz w:val="20"/>
          <w:szCs w:val="20"/>
          <w:lang w:val="fr-CA"/>
        </w:rPr>
        <w:tab/>
      </w:r>
      <w:r w:rsidR="00463408" w:rsidRPr="00E82CF7">
        <w:rPr>
          <w:rFonts w:ascii="Arial" w:hAnsi="Arial" w:cs="Arial"/>
          <w:sz w:val="20"/>
          <w:szCs w:val="20"/>
          <w:lang w:val="fr-CA"/>
        </w:rPr>
        <w:tab/>
      </w:r>
      <w:r w:rsidR="00463408" w:rsidRPr="00E82CF7">
        <w:rPr>
          <w:rFonts w:ascii="Arial" w:hAnsi="Arial" w:cs="Arial"/>
          <w:sz w:val="20"/>
          <w:szCs w:val="20"/>
          <w:lang w:val="fr-CA"/>
        </w:rPr>
        <w:tab/>
      </w:r>
      <w:r w:rsidR="00463408" w:rsidRPr="00E82CF7">
        <w:rPr>
          <w:rFonts w:ascii="Arial" w:hAnsi="Arial" w:cs="Arial"/>
          <w:sz w:val="20"/>
          <w:szCs w:val="20"/>
          <w:lang w:val="fr-CA"/>
        </w:rPr>
        <w:tab/>
      </w:r>
      <w:r w:rsidRPr="00E82CF7">
        <w:rPr>
          <w:rFonts w:ascii="Arial" w:hAnsi="Arial" w:cs="Arial"/>
          <w:sz w:val="20"/>
          <w:szCs w:val="20"/>
          <w:lang w:val="fr-CA"/>
        </w:rPr>
        <w:t>(Signature)</w:t>
      </w:r>
    </w:p>
    <w:p w14:paraId="165B9F74" w14:textId="77777777" w:rsidR="00B04849" w:rsidRPr="00E82CF7" w:rsidRDefault="00B04849">
      <w:pPr>
        <w:rPr>
          <w:rFonts w:ascii="Arial" w:hAnsi="Arial" w:cs="Arial"/>
          <w:b/>
          <w:i/>
          <w:sz w:val="20"/>
          <w:szCs w:val="20"/>
          <w:lang w:val="fr-CA"/>
        </w:rPr>
      </w:pPr>
    </w:p>
    <w:p w14:paraId="06041133" w14:textId="5F9B3FC0" w:rsidR="00FC102E" w:rsidRPr="00E82CF7" w:rsidRDefault="00463408" w:rsidP="00FC102E">
      <w:pPr>
        <w:rPr>
          <w:rFonts w:ascii="Arial" w:hAnsi="Arial" w:cs="Arial"/>
          <w:b/>
          <w:i/>
          <w:sz w:val="20"/>
          <w:szCs w:val="20"/>
          <w:lang w:val="fr-CA"/>
        </w:rPr>
      </w:pPr>
      <w:r w:rsidRPr="00E82CF7">
        <w:rPr>
          <w:rFonts w:ascii="Arial" w:hAnsi="Arial" w:cs="Arial"/>
          <w:b/>
          <w:i/>
          <w:sz w:val="20"/>
          <w:szCs w:val="20"/>
          <w:lang w:val="fr-CA"/>
        </w:rPr>
        <w:t>Remarque</w:t>
      </w:r>
      <w:r w:rsidR="00EB7C2A" w:rsidRPr="00E82CF7">
        <w:rPr>
          <w:rFonts w:ascii="Arial" w:hAnsi="Arial" w:cs="Arial"/>
          <w:b/>
          <w:i/>
          <w:sz w:val="20"/>
          <w:szCs w:val="20"/>
          <w:lang w:val="fr-CA"/>
        </w:rPr>
        <w:t> </w:t>
      </w:r>
      <w:r w:rsidRPr="00E82CF7">
        <w:rPr>
          <w:rFonts w:ascii="Arial" w:hAnsi="Arial" w:cs="Arial"/>
          <w:b/>
          <w:i/>
          <w:sz w:val="20"/>
          <w:szCs w:val="20"/>
          <w:lang w:val="fr-CA"/>
        </w:rPr>
        <w:t>: L’utilisation du présent document est recommandée en présence d’au moins trois parties à l</w:t>
      </w:r>
      <w:r w:rsidR="00872CE5" w:rsidRPr="00E82CF7">
        <w:rPr>
          <w:rFonts w:ascii="Arial" w:hAnsi="Arial" w:cs="Arial"/>
          <w:b/>
          <w:i/>
          <w:sz w:val="20"/>
          <w:szCs w:val="20"/>
          <w:lang w:val="fr-CA"/>
        </w:rPr>
        <w:t>’opération</w:t>
      </w:r>
      <w:r w:rsidRPr="00E82CF7">
        <w:rPr>
          <w:rFonts w:ascii="Arial" w:hAnsi="Arial" w:cs="Arial"/>
          <w:b/>
          <w:i/>
          <w:sz w:val="20"/>
          <w:szCs w:val="20"/>
          <w:lang w:val="fr-CA"/>
        </w:rPr>
        <w:t>, chaque partie étant représentée par son propre avocat</w:t>
      </w:r>
      <w:r w:rsidR="00FC102E" w:rsidRPr="00E82CF7">
        <w:rPr>
          <w:rFonts w:ascii="Arial" w:hAnsi="Arial" w:cs="Arial"/>
          <w:b/>
          <w:i/>
          <w:sz w:val="20"/>
          <w:szCs w:val="20"/>
          <w:lang w:val="fr-CA"/>
        </w:rPr>
        <w:t>.</w:t>
      </w:r>
    </w:p>
    <w:p w14:paraId="129CDE18" w14:textId="77777777" w:rsidR="00FC102E" w:rsidRPr="00E82CF7" w:rsidRDefault="00FC102E" w:rsidP="00FC102E">
      <w:pPr>
        <w:rPr>
          <w:rFonts w:ascii="Arial" w:hAnsi="Arial" w:cs="Arial"/>
          <w:sz w:val="20"/>
          <w:szCs w:val="20"/>
          <w:lang w:val="fr-CA"/>
        </w:rPr>
      </w:pPr>
    </w:p>
    <w:p w14:paraId="586A49A0" w14:textId="77777777" w:rsidR="00E82CF7" w:rsidRDefault="00E82CF7" w:rsidP="00463408">
      <w:pPr>
        <w:jc w:val="center"/>
        <w:rPr>
          <w:rFonts w:ascii="Arial" w:hAnsi="Arial" w:cs="Arial"/>
          <w:b/>
          <w:bCs/>
          <w:sz w:val="20"/>
          <w:szCs w:val="20"/>
          <w:lang w:val="fr-CA"/>
        </w:rPr>
      </w:pPr>
    </w:p>
    <w:p w14:paraId="4C72E86A" w14:textId="77777777" w:rsidR="00E82CF7" w:rsidRDefault="00E82CF7" w:rsidP="00463408">
      <w:pPr>
        <w:jc w:val="center"/>
        <w:rPr>
          <w:rFonts w:ascii="Arial" w:hAnsi="Arial" w:cs="Arial"/>
          <w:b/>
          <w:bCs/>
          <w:sz w:val="20"/>
          <w:szCs w:val="20"/>
          <w:lang w:val="fr-CA"/>
        </w:rPr>
      </w:pPr>
    </w:p>
    <w:p w14:paraId="2D7995E2" w14:textId="77777777" w:rsidR="00E82CF7" w:rsidRDefault="00E82CF7" w:rsidP="00463408">
      <w:pPr>
        <w:jc w:val="center"/>
        <w:rPr>
          <w:rFonts w:ascii="Arial" w:hAnsi="Arial" w:cs="Arial"/>
          <w:b/>
          <w:bCs/>
          <w:sz w:val="20"/>
          <w:szCs w:val="20"/>
          <w:lang w:val="fr-CA"/>
        </w:rPr>
      </w:pPr>
    </w:p>
    <w:p w14:paraId="08079E0F" w14:textId="77777777" w:rsidR="00E82CF7" w:rsidRDefault="00E82CF7" w:rsidP="00463408">
      <w:pPr>
        <w:jc w:val="center"/>
        <w:rPr>
          <w:rFonts w:ascii="Arial" w:hAnsi="Arial" w:cs="Arial"/>
          <w:b/>
          <w:bCs/>
          <w:sz w:val="20"/>
          <w:szCs w:val="20"/>
          <w:lang w:val="fr-CA"/>
        </w:rPr>
      </w:pPr>
    </w:p>
    <w:p w14:paraId="7A3EEA55" w14:textId="77777777" w:rsidR="00E82CF7" w:rsidRDefault="00E82CF7" w:rsidP="00463408">
      <w:pPr>
        <w:jc w:val="center"/>
        <w:rPr>
          <w:rFonts w:ascii="Arial" w:hAnsi="Arial" w:cs="Arial"/>
          <w:b/>
          <w:bCs/>
          <w:sz w:val="20"/>
          <w:szCs w:val="20"/>
          <w:lang w:val="fr-CA"/>
        </w:rPr>
      </w:pPr>
    </w:p>
    <w:p w14:paraId="470FF7DD" w14:textId="77777777" w:rsidR="00E82CF7" w:rsidRDefault="00E82CF7" w:rsidP="00463408">
      <w:pPr>
        <w:jc w:val="center"/>
        <w:rPr>
          <w:rFonts w:ascii="Arial" w:hAnsi="Arial" w:cs="Arial"/>
          <w:b/>
          <w:bCs/>
          <w:sz w:val="20"/>
          <w:szCs w:val="20"/>
          <w:lang w:val="fr-CA"/>
        </w:rPr>
      </w:pPr>
    </w:p>
    <w:p w14:paraId="29875AAC" w14:textId="77777777" w:rsidR="00E82CF7" w:rsidRDefault="00E82CF7" w:rsidP="00463408">
      <w:pPr>
        <w:jc w:val="center"/>
        <w:rPr>
          <w:rFonts w:ascii="Arial" w:hAnsi="Arial" w:cs="Arial"/>
          <w:b/>
          <w:bCs/>
          <w:sz w:val="20"/>
          <w:szCs w:val="20"/>
          <w:lang w:val="fr-CA"/>
        </w:rPr>
      </w:pPr>
    </w:p>
    <w:p w14:paraId="604D041A" w14:textId="4AA4A629" w:rsidR="00463408" w:rsidRPr="00E82CF7" w:rsidRDefault="005C3732" w:rsidP="00463408">
      <w:pPr>
        <w:jc w:val="center"/>
        <w:rPr>
          <w:rFonts w:ascii="Arial" w:hAnsi="Arial" w:cs="Arial"/>
          <w:b/>
          <w:bCs/>
          <w:sz w:val="20"/>
          <w:szCs w:val="20"/>
          <w:lang w:val="fr-CA"/>
        </w:rPr>
      </w:pPr>
      <w:r w:rsidRPr="00E82CF7">
        <w:rPr>
          <w:rFonts w:ascii="Arial" w:hAnsi="Arial" w:cs="Arial"/>
          <w:b/>
          <w:bCs/>
          <w:sz w:val="20"/>
          <w:szCs w:val="20"/>
          <w:lang w:val="fr-CA"/>
        </w:rPr>
        <w:lastRenderedPageBreak/>
        <w:t xml:space="preserve">ANNEXE </w:t>
      </w:r>
      <w:r w:rsidR="00463408" w:rsidRPr="00E82CF7">
        <w:rPr>
          <w:rFonts w:ascii="Arial" w:hAnsi="Arial" w:cs="Arial"/>
          <w:b/>
          <w:bCs/>
          <w:sz w:val="20"/>
          <w:szCs w:val="20"/>
          <w:lang w:val="fr-CA"/>
        </w:rPr>
        <w:t>« A »</w:t>
      </w:r>
    </w:p>
    <w:p w14:paraId="05A355FB" w14:textId="77777777" w:rsidR="00463408" w:rsidRPr="00E82CF7" w:rsidRDefault="00463408" w:rsidP="00463408">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bookmarkStart w:id="0" w:name="_Hlk56269412"/>
    </w:p>
    <w:p w14:paraId="66262D50" w14:textId="77777777" w:rsidR="00463408" w:rsidRPr="00E82CF7" w:rsidRDefault="00463408" w:rsidP="00463408">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E82CF7">
        <w:rPr>
          <w:rFonts w:ascii="Arial" w:hAnsi="Arial" w:cs="Arial"/>
          <w:sz w:val="20"/>
          <w:szCs w:val="20"/>
          <w:lang w:val="fr-CA"/>
        </w:rPr>
        <w:t>Documents électroniques à enregistrer dans l’ordre suivant :</w:t>
      </w:r>
    </w:p>
    <w:p w14:paraId="61A53991" w14:textId="77777777" w:rsidR="00463408" w:rsidRPr="00E82CF7" w:rsidRDefault="00463408" w:rsidP="00463408">
      <w:pPr>
        <w:tabs>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lang w:val="fr-CA"/>
        </w:rPr>
      </w:pPr>
    </w:p>
    <w:p w14:paraId="1A9E51E9" w14:textId="6C426132" w:rsidR="00463408" w:rsidRPr="00E82CF7" w:rsidRDefault="00DA3C3D" w:rsidP="00463408">
      <w:pPr>
        <w:pStyle w:val="ListParagraph"/>
        <w:numPr>
          <w:ilvl w:val="0"/>
          <w:numId w:val="13"/>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bookmarkStart w:id="1" w:name="_Hlk56260634"/>
      <w:bookmarkEnd w:id="0"/>
      <w:r w:rsidRPr="00E82CF7">
        <w:rPr>
          <w:rFonts w:ascii="Arial" w:hAnsi="Arial" w:cs="Arial"/>
          <w:sz w:val="20"/>
          <w:szCs w:val="20"/>
          <w:lang w:val="fr-CA"/>
        </w:rPr>
        <w:t xml:space="preserve">Virement/acte </w:t>
      </w:r>
      <w:bookmarkStart w:id="2" w:name="_Hlk74064120"/>
      <w:r w:rsidRPr="00E82CF7">
        <w:rPr>
          <w:rFonts w:ascii="Arial" w:hAnsi="Arial" w:cs="Arial"/>
          <w:sz w:val="20"/>
          <w:szCs w:val="20"/>
          <w:lang w:val="fr-CA"/>
        </w:rPr>
        <w:t xml:space="preserve">en faveur de l’acheteur à l’égard du bien. </w:t>
      </w:r>
    </w:p>
    <w:bookmarkEnd w:id="2"/>
    <w:p w14:paraId="46B91024" w14:textId="77777777" w:rsidR="00463408" w:rsidRPr="00E82CF7" w:rsidRDefault="00463408" w:rsidP="00463408">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szCs w:val="20"/>
          <w:lang w:val="fr-CA"/>
        </w:rPr>
      </w:pPr>
    </w:p>
    <w:p w14:paraId="44AD0D45" w14:textId="61E98E5A" w:rsidR="00463408" w:rsidRPr="00E82CF7" w:rsidRDefault="00DA3C3D" w:rsidP="00463408">
      <w:pPr>
        <w:pStyle w:val="ListParagraph"/>
        <w:numPr>
          <w:ilvl w:val="0"/>
          <w:numId w:val="13"/>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E82CF7">
        <w:rPr>
          <w:rFonts w:ascii="Arial" w:hAnsi="Arial" w:cs="Arial"/>
          <w:sz w:val="20"/>
          <w:szCs w:val="20"/>
          <w:lang w:val="fr-CA"/>
        </w:rPr>
        <w:t xml:space="preserve">Nouvelle hypothèque/charge de </w:t>
      </w:r>
      <w:r w:rsidR="00971DBC" w:rsidRPr="00E82CF7">
        <w:rPr>
          <w:rFonts w:ascii="Arial" w:hAnsi="Arial" w:cs="Arial"/>
          <w:sz w:val="20"/>
          <w:szCs w:val="20"/>
          <w:lang w:val="fr-CA"/>
        </w:rPr>
        <w:t>PREMIER RANG</w:t>
      </w:r>
      <w:r w:rsidRPr="00E82CF7">
        <w:rPr>
          <w:rFonts w:ascii="Arial" w:hAnsi="Arial" w:cs="Arial"/>
          <w:sz w:val="20"/>
          <w:szCs w:val="20"/>
          <w:lang w:val="fr-CA"/>
        </w:rPr>
        <w:t xml:space="preserve"> en faveur </w:t>
      </w:r>
      <w:r w:rsidR="00463408" w:rsidRPr="00E82CF7">
        <w:rPr>
          <w:rFonts w:ascii="Arial" w:hAnsi="Arial" w:cs="Arial"/>
          <w:sz w:val="20"/>
          <w:szCs w:val="20"/>
          <w:lang w:val="fr-CA"/>
        </w:rPr>
        <w:t xml:space="preserve">du </w:t>
      </w:r>
      <w:r w:rsidRPr="00E82CF7">
        <w:rPr>
          <w:rFonts w:ascii="Arial" w:hAnsi="Arial" w:cs="Arial"/>
          <w:sz w:val="20"/>
          <w:szCs w:val="20"/>
          <w:lang w:val="fr-CA"/>
        </w:rPr>
        <w:t>prêteur à l’égard du bien</w:t>
      </w:r>
    </w:p>
    <w:p w14:paraId="3DE2E1E3" w14:textId="77777777" w:rsidR="00463408" w:rsidRPr="00E82CF7" w:rsidRDefault="00463408" w:rsidP="00463408">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szCs w:val="20"/>
          <w:lang w:val="fr-CA"/>
        </w:rPr>
      </w:pPr>
    </w:p>
    <w:p w14:paraId="63A5E5E8" w14:textId="18D30548" w:rsidR="00DA3C3D" w:rsidRPr="00E82CF7" w:rsidRDefault="00DA3C3D" w:rsidP="00DA3C3D">
      <w:pPr>
        <w:pStyle w:val="ListParagraph"/>
        <w:numPr>
          <w:ilvl w:val="0"/>
          <w:numId w:val="13"/>
        </w:numPr>
        <w:tabs>
          <w:tab w:val="left" w:pos="432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E82CF7">
        <w:rPr>
          <w:rFonts w:ascii="Arial" w:hAnsi="Arial" w:cs="Arial"/>
          <w:sz w:val="20"/>
          <w:szCs w:val="20"/>
          <w:lang w:val="fr-CA"/>
        </w:rPr>
        <w:t>Cession des loyers en faveur du prêteur à l’égard du bien</w:t>
      </w:r>
    </w:p>
    <w:p w14:paraId="6E71E30C" w14:textId="77777777" w:rsidR="00DA3C3D" w:rsidRPr="00E82CF7" w:rsidRDefault="00DA3C3D" w:rsidP="00DA3C3D">
      <w:pPr>
        <w:pStyle w:val="ListParagraph"/>
        <w:rPr>
          <w:rFonts w:ascii="Arial" w:hAnsi="Arial" w:cs="Arial"/>
          <w:sz w:val="20"/>
          <w:szCs w:val="20"/>
          <w:lang w:val="fr-CA"/>
        </w:rPr>
      </w:pPr>
    </w:p>
    <w:p w14:paraId="1F410293" w14:textId="5806F839" w:rsidR="00DA3C3D" w:rsidRPr="00E82CF7" w:rsidRDefault="00DA3C3D" w:rsidP="00DA3C3D">
      <w:pPr>
        <w:pStyle w:val="ListParagraph"/>
        <w:numPr>
          <w:ilvl w:val="0"/>
          <w:numId w:val="13"/>
        </w:numPr>
        <w:tabs>
          <w:tab w:val="left" w:pos="432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E82CF7">
        <w:rPr>
          <w:rFonts w:ascii="Arial" w:hAnsi="Arial" w:cs="Arial"/>
          <w:sz w:val="20"/>
          <w:szCs w:val="20"/>
          <w:lang w:val="fr-CA"/>
        </w:rPr>
        <w:t>Mainlevée de la charge/hypothèque n</w:t>
      </w:r>
      <w:r w:rsidR="00971DBC" w:rsidRPr="00E82CF7">
        <w:rPr>
          <w:rFonts w:ascii="Arial" w:hAnsi="Arial" w:cs="Arial"/>
          <w:sz w:val="20"/>
          <w:szCs w:val="20"/>
          <w:lang w:val="fr-CA"/>
        </w:rPr>
        <w:sym w:font="Symbol" w:char="F0B0"/>
      </w:r>
      <w:r w:rsidRPr="00E82CF7">
        <w:rPr>
          <w:rFonts w:ascii="Arial" w:hAnsi="Arial" w:cs="Arial"/>
          <w:sz w:val="20"/>
          <w:szCs w:val="20"/>
          <w:lang w:val="fr-CA"/>
        </w:rPr>
        <w:t>_______</w:t>
      </w:r>
    </w:p>
    <w:p w14:paraId="1C0C9733" w14:textId="77777777" w:rsidR="00DA3C3D" w:rsidRPr="00E82CF7" w:rsidRDefault="00DA3C3D" w:rsidP="00DA3C3D">
      <w:pPr>
        <w:pStyle w:val="ListParagraph"/>
        <w:rPr>
          <w:rFonts w:ascii="Arial" w:hAnsi="Arial" w:cs="Arial"/>
          <w:sz w:val="20"/>
          <w:szCs w:val="20"/>
          <w:lang w:val="fr-CA"/>
        </w:rPr>
      </w:pPr>
    </w:p>
    <w:p w14:paraId="6D26E9CB" w14:textId="0DCED38A" w:rsidR="00463408" w:rsidRPr="00E82CF7" w:rsidRDefault="00DA3C3D" w:rsidP="00DA3C3D">
      <w:pPr>
        <w:pStyle w:val="ListParagraph"/>
        <w:numPr>
          <w:ilvl w:val="0"/>
          <w:numId w:val="13"/>
        </w:numPr>
        <w:tabs>
          <w:tab w:val="left" w:pos="432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E82CF7">
        <w:rPr>
          <w:rFonts w:ascii="Arial" w:hAnsi="Arial" w:cs="Arial"/>
          <w:sz w:val="20"/>
          <w:szCs w:val="20"/>
          <w:lang w:val="fr-CA"/>
        </w:rPr>
        <w:t xml:space="preserve">Autre, si nécessaire </w:t>
      </w:r>
      <w:bookmarkEnd w:id="1"/>
    </w:p>
    <w:sectPr w:rsidR="00463408" w:rsidRPr="00E82CF7" w:rsidSect="00FC10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96DE" w14:textId="77777777" w:rsidR="001E02E3" w:rsidRDefault="001E02E3" w:rsidP="00031198">
      <w:r>
        <w:separator/>
      </w:r>
    </w:p>
  </w:endnote>
  <w:endnote w:type="continuationSeparator" w:id="0">
    <w:p w14:paraId="721DCB5B" w14:textId="77777777" w:rsidR="001E02E3" w:rsidRDefault="001E02E3" w:rsidP="000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F918" w14:textId="77777777" w:rsidR="00EB7C2A" w:rsidRDefault="00EB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241221"/>
      <w:docPartObj>
        <w:docPartGallery w:val="Page Numbers (Bottom of Page)"/>
        <w:docPartUnique/>
      </w:docPartObj>
    </w:sdtPr>
    <w:sdtEndPr>
      <w:rPr>
        <w:noProof/>
      </w:rPr>
    </w:sdtEndPr>
    <w:sdtContent>
      <w:p w14:paraId="6EF4EFE4" w14:textId="3ED9B024" w:rsidR="00031198" w:rsidRDefault="00031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BAF37" w14:textId="77777777" w:rsidR="00031198" w:rsidRDefault="00031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0D6A" w14:textId="77777777" w:rsidR="00EB7C2A" w:rsidRDefault="00EB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9448" w14:textId="77777777" w:rsidR="001E02E3" w:rsidRDefault="001E02E3" w:rsidP="00031198">
      <w:r>
        <w:separator/>
      </w:r>
    </w:p>
  </w:footnote>
  <w:footnote w:type="continuationSeparator" w:id="0">
    <w:p w14:paraId="40C6A239" w14:textId="77777777" w:rsidR="001E02E3" w:rsidRDefault="001E02E3" w:rsidP="00031198">
      <w:r>
        <w:continuationSeparator/>
      </w:r>
    </w:p>
  </w:footnote>
  <w:footnote w:id="1">
    <w:p w14:paraId="171BDD74" w14:textId="622E8A97" w:rsidR="0049614B" w:rsidRPr="00E82CF7" w:rsidRDefault="0049614B" w:rsidP="0049614B">
      <w:pPr>
        <w:pStyle w:val="FootnoteText"/>
        <w:rPr>
          <w:rFonts w:ascii="Arial" w:hAnsi="Arial" w:cs="Arial"/>
          <w:sz w:val="16"/>
          <w:szCs w:val="16"/>
          <w:lang w:val="fr-CA"/>
        </w:rPr>
      </w:pPr>
      <w:r w:rsidRPr="00E82CF7">
        <w:rPr>
          <w:rStyle w:val="FootnoteReference"/>
          <w:rFonts w:ascii="Arial" w:hAnsi="Arial" w:cs="Arial"/>
          <w:sz w:val="16"/>
          <w:szCs w:val="16"/>
        </w:rPr>
        <w:footnoteRef/>
      </w:r>
      <w:r w:rsidRPr="00E82CF7">
        <w:rPr>
          <w:rFonts w:ascii="Arial" w:hAnsi="Arial" w:cs="Arial"/>
          <w:sz w:val="16"/>
          <w:szCs w:val="16"/>
          <w:lang w:val="fr-CA"/>
        </w:rPr>
        <w:t xml:space="preserve"> Cette convention d’enregistrement des documents a été modifiée par le Groupe de liaison du droit immobilier en mars 2021, et publiée sur le site Web du Barreau </w:t>
      </w:r>
      <w:r w:rsidR="002149E9" w:rsidRPr="00E82CF7">
        <w:rPr>
          <w:rFonts w:ascii="Arial" w:hAnsi="Arial" w:cs="Arial"/>
          <w:sz w:val="16"/>
          <w:szCs w:val="16"/>
          <w:lang w:val="fr-CA"/>
        </w:rPr>
        <w:t xml:space="preserve">de l’Ontario </w:t>
      </w:r>
      <w:r w:rsidRPr="00E82CF7">
        <w:rPr>
          <w:rFonts w:ascii="Arial" w:hAnsi="Arial" w:cs="Arial"/>
          <w:sz w:val="16"/>
          <w:szCs w:val="16"/>
          <w:lang w:val="fr-CA"/>
        </w:rPr>
        <w:t xml:space="preserve">le </w:t>
      </w:r>
      <w:r w:rsidR="00E82CF7" w:rsidRPr="00E82CF7">
        <w:rPr>
          <w:rFonts w:ascii="Arial" w:hAnsi="Arial" w:cs="Arial"/>
          <w:sz w:val="16"/>
          <w:szCs w:val="16"/>
          <w:lang w:val="fr-CA"/>
        </w:rPr>
        <w:t>10 juin 2021.</w:t>
      </w:r>
      <w:r w:rsidRPr="00E82CF7">
        <w:rPr>
          <w:rFonts w:ascii="Arial" w:hAnsi="Arial" w:cs="Arial"/>
          <w:sz w:val="16"/>
          <w:szCs w:val="16"/>
          <w:lang w:val="fr-CA"/>
        </w:rPr>
        <w:t xml:space="preserve"> </w:t>
      </w:r>
    </w:p>
  </w:footnote>
  <w:footnote w:id="2">
    <w:p w14:paraId="3BBBCF1B" w14:textId="6532A721" w:rsidR="005C3732" w:rsidRPr="00556825" w:rsidRDefault="005C3732">
      <w:pPr>
        <w:pStyle w:val="FootnoteText"/>
        <w:rPr>
          <w:sz w:val="22"/>
          <w:szCs w:val="22"/>
          <w:lang w:val="fr-CA"/>
        </w:rPr>
      </w:pPr>
      <w:r>
        <w:rPr>
          <w:rStyle w:val="FootnoteReference"/>
        </w:rPr>
        <w:footnoteRef/>
      </w:r>
      <w:r w:rsidRPr="00556825">
        <w:rPr>
          <w:lang w:val="fr-CA"/>
        </w:rPr>
        <w:t xml:space="preserve"> </w:t>
      </w:r>
      <w:r w:rsidR="00556825" w:rsidRPr="00E82CF7">
        <w:rPr>
          <w:rFonts w:ascii="Arial" w:hAnsi="Arial" w:cs="Arial"/>
          <w:sz w:val="16"/>
          <w:szCs w:val="16"/>
          <w:lang w:val="fr-CA"/>
        </w:rPr>
        <w:t>Aux fins de la présente convention, le terme « enregistrement » s’entend de la délivrance de numéros d’enregistrement à l’égard des documents électroniques par le Bureau d’enregistrement immobilier concerné. La présente convention peut être signée et échangée par les avocats en format imprimé ou numérique ou dans un format convenu dans la lettre de réquisition ou par un autre mode de communication entre les avocats, y compris la mention du choix d’avocat enregistreur/d’échéance de mainlevée, si le choix par défaut n’est pas acceptable, et l’ordre d’énumération des documents électroniques à l’annexe A, et l’indicateur d’enquête du registrateur le cas échéant</w:t>
      </w:r>
      <w:r w:rsidRPr="00E82CF7">
        <w:rPr>
          <w:rFonts w:ascii="Arial" w:hAnsi="Arial" w:cs="Arial"/>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544E" w14:textId="77777777" w:rsidR="00EB7C2A" w:rsidRDefault="00EB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B27E" w14:textId="77777777" w:rsidR="00EB7C2A" w:rsidRDefault="00EB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97AF" w14:textId="77777777" w:rsidR="00EB7C2A" w:rsidRDefault="00EB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E71"/>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23356E2"/>
    <w:multiLevelType w:val="hybridMultilevel"/>
    <w:tmpl w:val="E74AA426"/>
    <w:lvl w:ilvl="0" w:tplc="10090017">
      <w:start w:val="1"/>
      <w:numFmt w:val="lowerLetter"/>
      <w:lvlText w:val="%1)"/>
      <w:lvlJc w:val="left"/>
      <w:pPr>
        <w:ind w:left="792" w:hanging="360"/>
      </w:pPr>
      <w:rPr>
        <w:rFonts w:hint="default"/>
      </w:rPr>
    </w:lvl>
    <w:lvl w:ilvl="1" w:tplc="25686688">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6643622"/>
    <w:multiLevelType w:val="hybridMultilevel"/>
    <w:tmpl w:val="08249536"/>
    <w:lvl w:ilvl="0" w:tplc="10090017">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3F40C9E"/>
    <w:multiLevelType w:val="hybridMultilevel"/>
    <w:tmpl w:val="E70405CE"/>
    <w:lvl w:ilvl="0" w:tplc="1009000F">
      <w:start w:val="1"/>
      <w:numFmt w:val="decimal"/>
      <w:lvlText w:val="%1."/>
      <w:lvlJc w:val="left"/>
      <w:pPr>
        <w:ind w:left="720" w:hanging="360"/>
      </w:pPr>
      <w:rPr>
        <w:rFonts w:hint="default"/>
      </w:rPr>
    </w:lvl>
    <w:lvl w:ilvl="1" w:tplc="1068A276">
      <w:start w:val="2"/>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C373AD"/>
    <w:multiLevelType w:val="hybridMultilevel"/>
    <w:tmpl w:val="4BFC7E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93052ED"/>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48BB7165"/>
    <w:multiLevelType w:val="hybridMultilevel"/>
    <w:tmpl w:val="ED2C3AFC"/>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E466CA"/>
    <w:multiLevelType w:val="hybridMultilevel"/>
    <w:tmpl w:val="66A8A2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18649A4"/>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2ED57F7"/>
    <w:multiLevelType w:val="hybridMultilevel"/>
    <w:tmpl w:val="626A0B1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D371DB"/>
    <w:multiLevelType w:val="hybridMultilevel"/>
    <w:tmpl w:val="39CE0E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5007306"/>
    <w:multiLevelType w:val="hybridMultilevel"/>
    <w:tmpl w:val="6172DABC"/>
    <w:lvl w:ilvl="0" w:tplc="10090017">
      <w:start w:val="1"/>
      <w:numFmt w:val="lowerLetter"/>
      <w:lvlText w:val="%1)"/>
      <w:lvlJc w:val="left"/>
      <w:pPr>
        <w:ind w:left="792" w:hanging="360"/>
      </w:pPr>
      <w:rPr>
        <w:rFonts w:hint="default"/>
        <w:lang w:val="fr-CA"/>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4DD0B3F"/>
    <w:multiLevelType w:val="hybridMultilevel"/>
    <w:tmpl w:val="2BE082DC"/>
    <w:lvl w:ilvl="0" w:tplc="1009000F">
      <w:start w:val="1"/>
      <w:numFmt w:val="decimal"/>
      <w:lvlText w:val="%1."/>
      <w:lvlJc w:val="left"/>
      <w:pPr>
        <w:ind w:left="762" w:hanging="360"/>
      </w:pPr>
    </w:lvl>
    <w:lvl w:ilvl="1" w:tplc="10090019" w:tentative="1">
      <w:start w:val="1"/>
      <w:numFmt w:val="lowerLetter"/>
      <w:lvlText w:val="%2."/>
      <w:lvlJc w:val="left"/>
      <w:pPr>
        <w:ind w:left="1482" w:hanging="360"/>
      </w:pPr>
    </w:lvl>
    <w:lvl w:ilvl="2" w:tplc="1009001B" w:tentative="1">
      <w:start w:val="1"/>
      <w:numFmt w:val="lowerRoman"/>
      <w:lvlText w:val="%3."/>
      <w:lvlJc w:val="right"/>
      <w:pPr>
        <w:ind w:left="2202" w:hanging="180"/>
      </w:pPr>
    </w:lvl>
    <w:lvl w:ilvl="3" w:tplc="1009000F" w:tentative="1">
      <w:start w:val="1"/>
      <w:numFmt w:val="decimal"/>
      <w:lvlText w:val="%4."/>
      <w:lvlJc w:val="left"/>
      <w:pPr>
        <w:ind w:left="2922" w:hanging="360"/>
      </w:pPr>
    </w:lvl>
    <w:lvl w:ilvl="4" w:tplc="10090019" w:tentative="1">
      <w:start w:val="1"/>
      <w:numFmt w:val="lowerLetter"/>
      <w:lvlText w:val="%5."/>
      <w:lvlJc w:val="left"/>
      <w:pPr>
        <w:ind w:left="3642" w:hanging="360"/>
      </w:pPr>
    </w:lvl>
    <w:lvl w:ilvl="5" w:tplc="1009001B" w:tentative="1">
      <w:start w:val="1"/>
      <w:numFmt w:val="lowerRoman"/>
      <w:lvlText w:val="%6."/>
      <w:lvlJc w:val="right"/>
      <w:pPr>
        <w:ind w:left="4362" w:hanging="180"/>
      </w:pPr>
    </w:lvl>
    <w:lvl w:ilvl="6" w:tplc="1009000F" w:tentative="1">
      <w:start w:val="1"/>
      <w:numFmt w:val="decimal"/>
      <w:lvlText w:val="%7."/>
      <w:lvlJc w:val="left"/>
      <w:pPr>
        <w:ind w:left="5082" w:hanging="360"/>
      </w:pPr>
    </w:lvl>
    <w:lvl w:ilvl="7" w:tplc="10090019" w:tentative="1">
      <w:start w:val="1"/>
      <w:numFmt w:val="lowerLetter"/>
      <w:lvlText w:val="%8."/>
      <w:lvlJc w:val="left"/>
      <w:pPr>
        <w:ind w:left="5802" w:hanging="360"/>
      </w:pPr>
    </w:lvl>
    <w:lvl w:ilvl="8" w:tplc="1009001B" w:tentative="1">
      <w:start w:val="1"/>
      <w:numFmt w:val="lowerRoman"/>
      <w:lvlText w:val="%9."/>
      <w:lvlJc w:val="right"/>
      <w:pPr>
        <w:ind w:left="6522" w:hanging="180"/>
      </w:pPr>
    </w:lvl>
  </w:abstractNum>
  <w:num w:numId="1">
    <w:abstractNumId w:val="5"/>
  </w:num>
  <w:num w:numId="2">
    <w:abstractNumId w:val="0"/>
  </w:num>
  <w:num w:numId="3">
    <w:abstractNumId w:val="8"/>
  </w:num>
  <w:num w:numId="4">
    <w:abstractNumId w:val="12"/>
  </w:num>
  <w:num w:numId="5">
    <w:abstractNumId w:val="7"/>
  </w:num>
  <w:num w:numId="6">
    <w:abstractNumId w:val="4"/>
  </w:num>
  <w:num w:numId="7">
    <w:abstractNumId w:val="9"/>
  </w:num>
  <w:num w:numId="8">
    <w:abstractNumId w:val="2"/>
  </w:num>
  <w:num w:numId="9">
    <w:abstractNumId w:val="1"/>
  </w:num>
  <w:num w:numId="10">
    <w:abstractNumId w:val="11"/>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8"/>
    <w:rsid w:val="00031198"/>
    <w:rsid w:val="00036676"/>
    <w:rsid w:val="00091F12"/>
    <w:rsid w:val="000C219F"/>
    <w:rsid w:val="000C7060"/>
    <w:rsid w:val="000F7756"/>
    <w:rsid w:val="001713FE"/>
    <w:rsid w:val="001721A1"/>
    <w:rsid w:val="0019794A"/>
    <w:rsid w:val="001E02E3"/>
    <w:rsid w:val="00206420"/>
    <w:rsid w:val="002149E9"/>
    <w:rsid w:val="00247DDF"/>
    <w:rsid w:val="00397D56"/>
    <w:rsid w:val="004018E9"/>
    <w:rsid w:val="00455D42"/>
    <w:rsid w:val="00463408"/>
    <w:rsid w:val="0049614B"/>
    <w:rsid w:val="004F072F"/>
    <w:rsid w:val="00556825"/>
    <w:rsid w:val="005C3732"/>
    <w:rsid w:val="0068732C"/>
    <w:rsid w:val="00691770"/>
    <w:rsid w:val="0081527F"/>
    <w:rsid w:val="00817345"/>
    <w:rsid w:val="00872CE5"/>
    <w:rsid w:val="008E6358"/>
    <w:rsid w:val="00971DBC"/>
    <w:rsid w:val="00A46D85"/>
    <w:rsid w:val="00A63A5A"/>
    <w:rsid w:val="00A921FA"/>
    <w:rsid w:val="00AA6032"/>
    <w:rsid w:val="00B04849"/>
    <w:rsid w:val="00B571CF"/>
    <w:rsid w:val="00B91BCE"/>
    <w:rsid w:val="00C34875"/>
    <w:rsid w:val="00C36995"/>
    <w:rsid w:val="00C46751"/>
    <w:rsid w:val="00C578F2"/>
    <w:rsid w:val="00C61530"/>
    <w:rsid w:val="00D50EE8"/>
    <w:rsid w:val="00D9097D"/>
    <w:rsid w:val="00DA3C3D"/>
    <w:rsid w:val="00E30B09"/>
    <w:rsid w:val="00E65B1B"/>
    <w:rsid w:val="00E82CF7"/>
    <w:rsid w:val="00EB19A9"/>
    <w:rsid w:val="00EB7C2A"/>
    <w:rsid w:val="00F64145"/>
    <w:rsid w:val="00F64763"/>
    <w:rsid w:val="00FC102E"/>
    <w:rsid w:val="00FF2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16AF"/>
  <w15:chartTrackingRefBased/>
  <w15:docId w15:val="{E2857F74-A562-4521-A084-18EDC121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0F7756"/>
    <w:pPr>
      <w:keepNext/>
      <w:keepLines/>
      <w:spacing w:before="24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styleId="FootnoteText">
    <w:name w:val="footnote text"/>
    <w:basedOn w:val="Normal"/>
    <w:link w:val="FootnoteTextChar"/>
    <w:rsid w:val="00031198"/>
    <w:rPr>
      <w:sz w:val="20"/>
      <w:szCs w:val="20"/>
    </w:rPr>
  </w:style>
  <w:style w:type="character" w:customStyle="1" w:styleId="FootnoteTextChar">
    <w:name w:val="Footnote Text Char"/>
    <w:basedOn w:val="DefaultParagraphFont"/>
    <w:link w:val="FootnoteText"/>
    <w:rsid w:val="00031198"/>
    <w:rPr>
      <w:rFonts w:ascii="Times New Roman" w:eastAsia="Times New Roman" w:hAnsi="Times New Roman" w:cs="Times New Roman"/>
      <w:sz w:val="20"/>
      <w:szCs w:val="20"/>
      <w:lang w:eastAsia="en-CA"/>
    </w:rPr>
  </w:style>
  <w:style w:type="character" w:styleId="FootnoteReference">
    <w:name w:val="footnote reference"/>
    <w:basedOn w:val="DefaultParagraphFont"/>
    <w:rsid w:val="00031198"/>
    <w:rPr>
      <w:vertAlign w:val="superscript"/>
    </w:rPr>
  </w:style>
  <w:style w:type="paragraph" w:styleId="ListParagraph">
    <w:name w:val="List Paragraph"/>
    <w:basedOn w:val="Normal"/>
    <w:uiPriority w:val="34"/>
    <w:qFormat/>
    <w:rsid w:val="00031198"/>
    <w:pPr>
      <w:ind w:left="720"/>
      <w:contextualSpacing/>
    </w:pPr>
  </w:style>
  <w:style w:type="paragraph" w:styleId="Header">
    <w:name w:val="header"/>
    <w:basedOn w:val="Normal"/>
    <w:link w:val="HeaderChar"/>
    <w:uiPriority w:val="99"/>
    <w:unhideWhenUsed/>
    <w:rsid w:val="00031198"/>
    <w:pPr>
      <w:tabs>
        <w:tab w:val="center" w:pos="4680"/>
        <w:tab w:val="right" w:pos="9360"/>
      </w:tabs>
    </w:pPr>
  </w:style>
  <w:style w:type="character" w:customStyle="1" w:styleId="HeaderChar">
    <w:name w:val="Header Char"/>
    <w:basedOn w:val="DefaultParagraphFont"/>
    <w:link w:val="Header"/>
    <w:uiPriority w:val="99"/>
    <w:rsid w:val="00031198"/>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31198"/>
    <w:pPr>
      <w:tabs>
        <w:tab w:val="center" w:pos="4680"/>
        <w:tab w:val="right" w:pos="9360"/>
      </w:tabs>
    </w:pPr>
  </w:style>
  <w:style w:type="character" w:customStyle="1" w:styleId="FooterChar">
    <w:name w:val="Footer Char"/>
    <w:basedOn w:val="DefaultParagraphFont"/>
    <w:link w:val="Footer"/>
    <w:uiPriority w:val="99"/>
    <w:rsid w:val="00031198"/>
    <w:rPr>
      <w:rFonts w:ascii="Times New Roman" w:eastAsia="Times New Roman" w:hAnsi="Times New Roman" w:cs="Times New Roman"/>
      <w:sz w:val="24"/>
      <w:szCs w:val="24"/>
      <w:lang w:eastAsia="en-CA"/>
    </w:rPr>
  </w:style>
  <w:style w:type="paragraph" w:customStyle="1" w:styleId="TableParagraph">
    <w:name w:val="Table Paragraph"/>
    <w:basedOn w:val="Normal"/>
    <w:uiPriority w:val="1"/>
    <w:qFormat/>
    <w:rsid w:val="0049614B"/>
    <w:pPr>
      <w:widowControl w:val="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817345"/>
    <w:rPr>
      <w:sz w:val="16"/>
      <w:szCs w:val="16"/>
    </w:rPr>
  </w:style>
  <w:style w:type="paragraph" w:styleId="CommentText">
    <w:name w:val="annotation text"/>
    <w:basedOn w:val="Normal"/>
    <w:link w:val="CommentTextChar"/>
    <w:uiPriority w:val="99"/>
    <w:semiHidden/>
    <w:unhideWhenUsed/>
    <w:rsid w:val="00817345"/>
    <w:rPr>
      <w:sz w:val="20"/>
      <w:szCs w:val="20"/>
    </w:rPr>
  </w:style>
  <w:style w:type="character" w:customStyle="1" w:styleId="CommentTextChar">
    <w:name w:val="Comment Text Char"/>
    <w:basedOn w:val="DefaultParagraphFont"/>
    <w:link w:val="CommentText"/>
    <w:uiPriority w:val="99"/>
    <w:semiHidden/>
    <w:rsid w:val="0081734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817345"/>
    <w:rPr>
      <w:b/>
      <w:bCs/>
    </w:rPr>
  </w:style>
  <w:style w:type="character" w:customStyle="1" w:styleId="CommentSubjectChar">
    <w:name w:val="Comment Subject Char"/>
    <w:basedOn w:val="CommentTextChar"/>
    <w:link w:val="CommentSubject"/>
    <w:uiPriority w:val="99"/>
    <w:semiHidden/>
    <w:rsid w:val="00817345"/>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817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45"/>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18D6-2591-42A4-9065-2CB3A524F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841211-E1C8-48F3-B7F5-428A755C8712}">
  <ds:schemaRefs>
    <ds:schemaRef ds:uri="http://schemas.microsoft.com/sharepoint/v3/contenttype/forms"/>
  </ds:schemaRefs>
</ds:datastoreItem>
</file>

<file path=customXml/itemProps3.xml><?xml version="1.0" encoding="utf-8"?>
<ds:datastoreItem xmlns:ds="http://schemas.openxmlformats.org/officeDocument/2006/customXml" ds:itemID="{2E8393C6-FEE6-40DC-AF9A-BAE20C21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8F5A80-4BAD-4D68-90E3-B22B20AA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Krsmanovic</dc:creator>
  <cp:keywords/>
  <dc:description/>
  <cp:lastModifiedBy>Jovana Krsmanovic</cp:lastModifiedBy>
  <cp:revision>24</cp:revision>
  <dcterms:created xsi:type="dcterms:W3CDTF">2021-06-08T19:37:00Z</dcterms:created>
  <dcterms:modified xsi:type="dcterms:W3CDTF">2021-06-10T19:01:00Z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0x010100618FE3B3637C2E45AF592D23251974F5</vt:lpwstr>
  </property>
</Properties>
</file>